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2.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3.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4.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4.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5.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40" w:rsidRPr="00477AF8" w:rsidRDefault="00477AF8" w:rsidP="00477AF8">
      <w:pPr>
        <w:jc w:val="center"/>
        <w:rPr>
          <w:rFonts w:ascii="BPG Nino Mtavruli" w:hAnsi="BPG Nino Mtavruli"/>
          <w:b/>
          <w:sz w:val="32"/>
          <w:lang w:val="ka-GE"/>
        </w:rPr>
      </w:pPr>
      <w:r w:rsidRPr="00477AF8">
        <w:rPr>
          <w:rFonts w:ascii="BPG Nino Mtavruli" w:hAnsi="BPG Nino Mtavruli"/>
          <w:b/>
          <w:sz w:val="32"/>
          <w:lang w:val="ka-GE"/>
        </w:rPr>
        <w:t>მაკროეკონომიკური სცენარების ანალიზი</w:t>
      </w:r>
    </w:p>
    <w:p w:rsidR="00477AF8" w:rsidRDefault="00477AF8" w:rsidP="000B4EB7"/>
    <w:p w:rsidR="0014592A" w:rsidRDefault="0014592A" w:rsidP="0014592A">
      <w:pPr>
        <w:pStyle w:val="Heading1"/>
        <w:rPr>
          <w:b/>
          <w:bCs w:val="0"/>
          <w:sz w:val="28"/>
          <w:szCs w:val="28"/>
        </w:rPr>
      </w:pPr>
      <w:r w:rsidRPr="00531C8D">
        <w:rPr>
          <w:b/>
          <w:bCs w:val="0"/>
          <w:sz w:val="28"/>
          <w:szCs w:val="28"/>
        </w:rPr>
        <w:t>შესავალი</w:t>
      </w:r>
    </w:p>
    <w:p w:rsidR="000B4EB7" w:rsidRPr="000A4D4A" w:rsidRDefault="000B4EB7" w:rsidP="0014592A">
      <w:pPr>
        <w:spacing w:line="276" w:lineRule="auto"/>
        <w:ind w:firstLine="540"/>
        <w:jc w:val="both"/>
        <w:rPr>
          <w:rFonts w:ascii="Sylfaen" w:hAnsi="Sylfaen" w:cs="Segoe UI"/>
          <w:sz w:val="20"/>
          <w:szCs w:val="20"/>
          <w:lang w:val="ka-GE"/>
        </w:rPr>
      </w:pPr>
      <w:r w:rsidRPr="000A4D4A">
        <w:rPr>
          <w:rFonts w:ascii="Sylfaen" w:hAnsi="Sylfaen" w:cs="Segoe UI"/>
          <w:sz w:val="20"/>
          <w:szCs w:val="20"/>
          <w:lang w:val="ka-GE"/>
        </w:rPr>
        <w:t>2019 წლის ბოლოს მსოფლიოში გამოჩენილმა ახალი ტიპის კორონავირუსმა მნიშვნელოვანი გავლენა მოახდინა მსოფლიო ეკონომიკურ ტენდენციებზე და მათ შორის საქართველოზეც. მთელს მსოფლიოში მოხდა მიმდინარე და საშუალოვადიანი პროგნოზების გადახედვა. პანდემიის პირველი ნიშნებიდან მოყოლებული, მაღალი გაურკვევლობიდან გამომდინარე, მრავალჯერ შეიცვალა ეკ</w:t>
      </w:r>
      <w:r w:rsidR="005074EE">
        <w:rPr>
          <w:rFonts w:ascii="Sylfaen" w:hAnsi="Sylfaen" w:cs="Segoe UI"/>
          <w:sz w:val="20"/>
          <w:szCs w:val="20"/>
          <w:lang w:val="ka-GE"/>
        </w:rPr>
        <w:t>ო</w:t>
      </w:r>
      <w:r w:rsidRPr="000A4D4A">
        <w:rPr>
          <w:rFonts w:ascii="Sylfaen" w:hAnsi="Sylfaen" w:cs="Segoe UI"/>
          <w:sz w:val="20"/>
          <w:szCs w:val="20"/>
          <w:lang w:val="ka-GE"/>
        </w:rPr>
        <w:t>ნომიკური პროგნოზები მთელს მსოფლიოში.</w:t>
      </w:r>
    </w:p>
    <w:p w:rsidR="000B4EB7" w:rsidRPr="000A4D4A" w:rsidRDefault="000B4EB7" w:rsidP="0014592A">
      <w:pPr>
        <w:spacing w:line="276" w:lineRule="auto"/>
        <w:ind w:firstLine="540"/>
        <w:jc w:val="both"/>
        <w:rPr>
          <w:rFonts w:ascii="Sylfaen" w:hAnsi="Sylfaen" w:cs="Segoe UI"/>
          <w:sz w:val="20"/>
          <w:szCs w:val="20"/>
          <w:lang w:val="ka-GE"/>
        </w:rPr>
      </w:pPr>
      <w:r w:rsidRPr="000A4D4A">
        <w:rPr>
          <w:rFonts w:ascii="Sylfaen" w:hAnsi="Sylfaen" w:cs="Segoe UI"/>
          <w:sz w:val="20"/>
          <w:szCs w:val="20"/>
          <w:lang w:val="ka-GE"/>
        </w:rPr>
        <w:t xml:space="preserve">2020 წლის მსოფლიო ეკონომიკური ზრდის პროგნოზი საერთაშორისო სავალუტო ფონდმა აპრილში -3.0 პროცენტზე შეაფასა. თუმცა, აღნიშნულ მაჩვენებლებს უკვე ივნისში გადახედა და დაამძიმა -4.9 პროცენტამდე. </w:t>
      </w:r>
    </w:p>
    <w:p w:rsidR="000B4EB7" w:rsidRPr="000A4D4A" w:rsidRDefault="000B4EB7" w:rsidP="0014592A">
      <w:pPr>
        <w:spacing w:line="276" w:lineRule="auto"/>
        <w:ind w:firstLine="540"/>
        <w:jc w:val="both"/>
        <w:rPr>
          <w:rFonts w:ascii="Sylfaen" w:hAnsi="Sylfaen" w:cs="Segoe UI"/>
          <w:sz w:val="20"/>
          <w:szCs w:val="20"/>
          <w:lang w:val="ka-GE"/>
        </w:rPr>
      </w:pPr>
      <w:r w:rsidRPr="000A4D4A">
        <w:rPr>
          <w:rFonts w:ascii="Sylfaen" w:hAnsi="Sylfaen" w:cs="Segoe UI"/>
          <w:sz w:val="20"/>
          <w:szCs w:val="20"/>
          <w:lang w:val="ka-GE"/>
        </w:rPr>
        <w:t>შედარებით პესიმისტურია სხვა მაღალრეპუტაციული ორგანიზაციების პროგნოზებიც. მსოფლიო ბანკის მიხედვით, მსოფლიო ეკონომიკური ზრდა 2020 წლისთვის -5.2 პროცენტამდე შემცირდება, ხოლო ეკონომიკური განვითარებისა და თანამშრომლობის ორგანიზაცია (OECD) პროგნოზის ორ სცენარს გვთავაზობს, პირველ შემთხვევაში მსოფლიოს რეალური ეკონომიკური ზრდა -6.0 პროცენტს უტოლდება, ხოლო იმ შემთხვევაში, თუ ვირუსის გავრცელების მეორე ტალღის შესახებ არსებული ვარაუდი რეალიზდება და საჭირო გახდება რეგულაციების კვლავ გამკაცრება, მსოფლიო ეკონომიკური ზრდა -7.6 პროცენტამდე შემცირდება.</w:t>
      </w:r>
    </w:p>
    <w:p w:rsidR="000B4EB7" w:rsidRPr="000A4D4A" w:rsidRDefault="000B4EB7" w:rsidP="0014592A">
      <w:pPr>
        <w:spacing w:line="276" w:lineRule="auto"/>
        <w:ind w:firstLine="540"/>
        <w:jc w:val="both"/>
        <w:rPr>
          <w:rFonts w:ascii="Sylfaen" w:hAnsi="Sylfaen" w:cs="Segoe UI"/>
          <w:sz w:val="20"/>
          <w:szCs w:val="20"/>
        </w:rPr>
      </w:pPr>
      <w:r w:rsidRPr="000A4D4A">
        <w:rPr>
          <w:rFonts w:ascii="Sylfaen" w:hAnsi="Sylfaen" w:cs="Segoe UI"/>
          <w:sz w:val="20"/>
          <w:szCs w:val="20"/>
          <w:lang w:val="ka-GE"/>
        </w:rPr>
        <w:t>საერთაშორისო სავალუტო ფონდის 2020 წლის აპრილის მსოფლიო ეკონომიკური მიმოხილვის მიხედვით 2020 წელს მსოფლიო ქვეყნების 90 პროცენტს უარყოფითი ეკონომიკური ზრდა ექნება. შედარებისათის, 2009 წელს ეს რიცხვი დაახლოებით 60 პროცენტს შეადგენდა.</w:t>
      </w:r>
    </w:p>
    <w:p w:rsidR="000B4EB7" w:rsidRPr="000A4D4A" w:rsidRDefault="000B4EB7" w:rsidP="0014592A">
      <w:pPr>
        <w:ind w:firstLine="540"/>
        <w:jc w:val="both"/>
        <w:rPr>
          <w:rFonts w:ascii="Sylfaen" w:hAnsi="Sylfaen" w:cs="Segoe UI"/>
          <w:sz w:val="20"/>
          <w:szCs w:val="20"/>
          <w:lang w:val="ka-GE"/>
        </w:rPr>
      </w:pPr>
      <w:r w:rsidRPr="000A4D4A">
        <w:rPr>
          <w:rFonts w:ascii="Sylfaen" w:hAnsi="Sylfaen" w:cs="Segoe UI"/>
          <w:sz w:val="20"/>
          <w:szCs w:val="20"/>
        </w:rPr>
        <w:t>მნიშვნელოვანია, რომ სხვადასხვა ქვეყნების ეკონომიკურ ზრდაზე გავლენა არ არის ერთგვაროვანი. მოწინავე ეკონომიკის მქონე ქვეყნებში,</w:t>
      </w:r>
      <w:r w:rsidRPr="000A4D4A">
        <w:rPr>
          <w:rFonts w:ascii="Sylfaen" w:hAnsi="Sylfaen" w:cs="Segoe UI"/>
          <w:sz w:val="20"/>
          <w:szCs w:val="20"/>
          <w:lang w:val="ka-GE"/>
        </w:rPr>
        <w:t xml:space="preserve"> </w:t>
      </w:r>
      <w:r w:rsidRPr="000A4D4A">
        <w:rPr>
          <w:rFonts w:ascii="Sylfaen" w:hAnsi="Sylfaen" w:cs="Segoe UI"/>
          <w:sz w:val="20"/>
          <w:szCs w:val="20"/>
        </w:rPr>
        <w:t>სადაც გლობალიზაციისა და მომსახურების დარგების წილი მაღალია, უფრო მაღალი ეკონომიკური კლებაა მოსალოდნელი, ვიდრე განვითარებად ქვეყნებში. სსფ-ის განახლებული პროგნოზით მოწინავე ეკონომიკის ქვეყნების ეკონომიკური ზრდის პროგნოზი -8, ხოლო განვითარებადი ქვეყნების -3 პროცენტზეა მოსალოდნელი.</w:t>
      </w:r>
      <w:r w:rsidRPr="000A4D4A">
        <w:rPr>
          <w:rFonts w:ascii="Sylfaen" w:hAnsi="Sylfaen" w:cs="Segoe UI"/>
          <w:sz w:val="20"/>
          <w:szCs w:val="20"/>
          <w:lang w:val="ka-GE"/>
        </w:rPr>
        <w:t xml:space="preserve"> </w:t>
      </w:r>
    </w:p>
    <w:p w:rsidR="000B4EB7" w:rsidRDefault="0014592A" w:rsidP="000B4EB7">
      <w:pPr>
        <w:rPr>
          <w:lang w:val="ka-GE"/>
        </w:rPr>
      </w:pPr>
      <w:r w:rsidRPr="000B4EB7">
        <w:rPr>
          <w:noProof/>
        </w:rPr>
        <mc:AlternateContent>
          <mc:Choice Requires="wps">
            <w:drawing>
              <wp:anchor distT="0" distB="0" distL="114300" distR="114300" simplePos="0" relativeHeight="251660288" behindDoc="0" locked="0" layoutInCell="1" allowOverlap="1" wp14:anchorId="48587EED" wp14:editId="060A3792">
                <wp:simplePos x="0" y="0"/>
                <wp:positionH relativeFrom="column">
                  <wp:posOffset>14605</wp:posOffset>
                </wp:positionH>
                <wp:positionV relativeFrom="paragraph">
                  <wp:posOffset>3810</wp:posOffset>
                </wp:positionV>
                <wp:extent cx="3829050" cy="409575"/>
                <wp:effectExtent l="0" t="0" r="0" b="9525"/>
                <wp:wrapNone/>
                <wp:docPr id="260" name="Text Box 260"/>
                <wp:cNvGraphicFramePr/>
                <a:graphic xmlns:a="http://schemas.openxmlformats.org/drawingml/2006/main">
                  <a:graphicData uri="http://schemas.microsoft.com/office/word/2010/wordprocessingShape">
                    <wps:wsp>
                      <wps:cNvSpPr txBox="1"/>
                      <wps:spPr>
                        <a:xfrm>
                          <a:off x="0" y="0"/>
                          <a:ext cx="3829050" cy="409575"/>
                        </a:xfrm>
                        <a:prstGeom prst="rect">
                          <a:avLst/>
                        </a:prstGeom>
                        <a:solidFill>
                          <a:prstClr val="white"/>
                        </a:solidFill>
                        <a:ln>
                          <a:noFill/>
                        </a:ln>
                      </wps:spPr>
                      <wps:txbx>
                        <w:txbxContent>
                          <w:p w:rsidR="0004274A" w:rsidRPr="000015C9" w:rsidRDefault="0004274A"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0015C9" w:rsidRDefault="0004274A"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0015C9" w:rsidRDefault="0004274A"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0015C9" w:rsidRDefault="0004274A"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0015C9" w:rsidRDefault="0004274A"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0015C9" w:rsidRDefault="0004274A"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0015C9" w:rsidRDefault="0004274A"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0015C9" w:rsidRDefault="0004274A"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87EED" id="_x0000_t202" coordsize="21600,21600" o:spt="202" path="m,l,21600r21600,l21600,xe">
                <v:stroke joinstyle="miter"/>
                <v:path gradientshapeok="t" o:connecttype="rect"/>
              </v:shapetype>
              <v:shape id="Text Box 260" o:spid="_x0000_s1026" type="#_x0000_t202" style="position:absolute;margin-left:1.15pt;margin-top:.3pt;width:301.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" stroked="f">
                <v:textbox inset="0,0,0,0">
                  <w:txbxContent>
                    <w:p w:rsidR="0004274A" w:rsidRPr="000015C9" w:rsidRDefault="0004274A"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0015C9" w:rsidRDefault="0004274A"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0015C9" w:rsidRDefault="0004274A"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0015C9" w:rsidRDefault="0004274A"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0015C9" w:rsidRDefault="0004274A"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0015C9" w:rsidRDefault="0004274A"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0015C9" w:rsidRDefault="0004274A"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0015C9" w:rsidRDefault="0004274A" w:rsidP="000B4EB7">
                      <w:pPr>
                        <w:pStyle w:val="NoSpacing"/>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2020-2021 </w:t>
                      </w:r>
                      <w:r w:rsidRPr="000015C9">
                        <w:rPr>
                          <w:rFonts w:ascii="Sylfaen" w:hAnsi="Sylfaen" w:cs="Sylfaen"/>
                          <w:lang w:val="ka-GE"/>
                        </w:rPr>
                        <w:t>წლებისთვის</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p w:rsidR="0004274A" w:rsidRDefault="0004274A" w:rsidP="000B4EB7"/>
                    <w:p w:rsidR="0004274A" w:rsidRPr="003B5120" w:rsidRDefault="0004274A" w:rsidP="000B4EB7">
                      <w:pPr>
                        <w:pStyle w:val="NoSpacing"/>
                        <w:rPr>
                          <w:rFonts w:eastAsia="+mn-ea" w:cs="Calibri"/>
                          <w:i/>
                          <w:iCs/>
                          <w:color w:val="000000"/>
                          <w:kern w:val="24"/>
                        </w:rPr>
                      </w:pPr>
                      <w:r w:rsidRPr="003B5120">
                        <w:rPr>
                          <w:rFonts w:cs="Calibri"/>
                        </w:rPr>
                        <w:t>დიაგრამა 1</w:t>
                      </w:r>
                      <w:r w:rsidRPr="003B5120">
                        <w:rPr>
                          <w:rFonts w:cs="Calibri"/>
                          <w:noProof/>
                        </w:rPr>
                        <w:t>:</w:t>
                      </w:r>
                      <w:r w:rsidRPr="003B5120">
                        <w:rPr>
                          <w:rFonts w:cs="Calibri"/>
                          <w:lang w:val="ka-GE"/>
                        </w:rPr>
                        <w:t xml:space="preserve"> ეკონომიკური ზრდა</w:t>
                      </w:r>
                    </w:p>
                  </w:txbxContent>
                </v:textbox>
              </v:shape>
            </w:pict>
          </mc:Fallback>
        </mc:AlternateContent>
      </w:r>
      <w:r w:rsidRPr="000B4EB7">
        <w:rPr>
          <w:noProof/>
        </w:rPr>
        <w:drawing>
          <wp:anchor distT="0" distB="0" distL="114300" distR="114300" simplePos="0" relativeHeight="251663360" behindDoc="1" locked="0" layoutInCell="1" allowOverlap="1" wp14:anchorId="51029DFA" wp14:editId="6C7353AA">
            <wp:simplePos x="0" y="0"/>
            <wp:positionH relativeFrom="column">
              <wp:posOffset>0</wp:posOffset>
            </wp:positionH>
            <wp:positionV relativeFrom="paragraph">
              <wp:posOffset>408940</wp:posOffset>
            </wp:positionV>
            <wp:extent cx="4124325" cy="2514600"/>
            <wp:effectExtent l="0" t="0" r="0" b="0"/>
            <wp:wrapTopAndBottom/>
            <wp:docPr id="23" name="Chart 23">
              <a:extLst xmlns:a="http://schemas.openxmlformats.org/drawingml/2006/main">
                <a:ext uri="{FF2B5EF4-FFF2-40B4-BE49-F238E27FC236}">
                  <a16:creationId xmlns:a16="http://schemas.microsoft.com/office/drawing/2014/main" id="{C5CDBA60-0C0C-4BCD-96B4-B22C7AE279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0B4EB7" w:rsidRPr="000B4EB7">
        <w:rPr>
          <w:noProof/>
        </w:rPr>
        <mc:AlternateContent>
          <mc:Choice Requires="wps">
            <w:drawing>
              <wp:anchor distT="0" distB="0" distL="114300" distR="114300" simplePos="0" relativeHeight="251661312" behindDoc="1" locked="0" layoutInCell="1" allowOverlap="1" wp14:anchorId="1F5D846A" wp14:editId="61ADA076">
                <wp:simplePos x="0" y="0"/>
                <wp:positionH relativeFrom="column">
                  <wp:posOffset>3810</wp:posOffset>
                </wp:positionH>
                <wp:positionV relativeFrom="paragraph">
                  <wp:posOffset>3185160</wp:posOffset>
                </wp:positionV>
                <wp:extent cx="3213100" cy="133350"/>
                <wp:effectExtent l="0" t="0" r="6350" b="0"/>
                <wp:wrapTight wrapText="bothSides">
                  <wp:wrapPolygon edited="0">
                    <wp:start x="0" y="0"/>
                    <wp:lineTo x="0" y="18514"/>
                    <wp:lineTo x="21515" y="18514"/>
                    <wp:lineTo x="21515" y="0"/>
                    <wp:lineTo x="0" y="0"/>
                  </wp:wrapPolygon>
                </wp:wrapTight>
                <wp:docPr id="270" name="Text Box 270"/>
                <wp:cNvGraphicFramePr/>
                <a:graphic xmlns:a="http://schemas.openxmlformats.org/drawingml/2006/main">
                  <a:graphicData uri="http://schemas.microsoft.com/office/word/2010/wordprocessingShape">
                    <wps:wsp>
                      <wps:cNvSpPr txBox="1"/>
                      <wps:spPr>
                        <a:xfrm>
                          <a:off x="0" y="0"/>
                          <a:ext cx="3213100" cy="133350"/>
                        </a:xfrm>
                        <a:prstGeom prst="rect">
                          <a:avLst/>
                        </a:prstGeom>
                        <a:solidFill>
                          <a:prstClr val="white"/>
                        </a:solidFill>
                        <a:ln>
                          <a:noFill/>
                        </a:ln>
                      </wps:spPr>
                      <wps:txbx>
                        <w:txbxContent>
                          <w:p w:rsidR="0004274A" w:rsidRPr="000015C9" w:rsidRDefault="0004274A" w:rsidP="000B4EB7">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0015C9" w:rsidRDefault="0004274A" w:rsidP="000B4EB7">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0015C9" w:rsidRDefault="0004274A" w:rsidP="000B4EB7">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0015C9" w:rsidRDefault="0004274A" w:rsidP="000B4EB7">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0015C9" w:rsidRDefault="0004274A" w:rsidP="000B4EB7">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0015C9" w:rsidRDefault="0004274A" w:rsidP="000B4EB7">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0015C9" w:rsidRDefault="0004274A" w:rsidP="000B4EB7">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0015C9" w:rsidRDefault="0004274A" w:rsidP="000B4EB7">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D846A" id="Text Box 270" o:spid="_x0000_s1027" type="#_x0000_t202" style="position:absolute;margin-left:.3pt;margin-top:250.8pt;width:253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" stroked="f">
                <v:textbox inset="0,0,0,0">
                  <w:txbxContent>
                    <w:p w:rsidR="0004274A" w:rsidRPr="000015C9" w:rsidRDefault="0004274A" w:rsidP="000B4EB7">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0015C9" w:rsidRDefault="0004274A" w:rsidP="000B4EB7">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0015C9" w:rsidRDefault="0004274A" w:rsidP="000B4EB7">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0015C9" w:rsidRDefault="0004274A" w:rsidP="000B4EB7">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0015C9" w:rsidRDefault="0004274A" w:rsidP="000B4EB7">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0015C9" w:rsidRDefault="0004274A" w:rsidP="000B4EB7">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0015C9" w:rsidRDefault="0004274A" w:rsidP="000B4EB7">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0015C9" w:rsidRDefault="0004274A" w:rsidP="000B4EB7">
                      <w:pPr>
                        <w:pStyle w:val="NoSpacing"/>
                        <w:rPr>
                          <w:rFonts w:asciiTheme="majorHAnsi" w:hAnsiTheme="majorHAnsi" w:cstheme="majorHAnsi"/>
                          <w:i/>
                          <w:iCs/>
                          <w:noProof/>
                          <w:sz w:val="14"/>
                          <w:lang w:val="ka-GE"/>
                        </w:rPr>
                      </w:pPr>
                      <w:r w:rsidRPr="000015C9">
                        <w:rPr>
                          <w:rFonts w:ascii="Sylfaen" w:hAnsi="Sylfaen" w:cs="Sylfaen"/>
                          <w:sz w:val="14"/>
                          <w:lang w:val="ka-GE"/>
                        </w:rPr>
                        <w:t>წყარო</w:t>
                      </w:r>
                      <w:r w:rsidRPr="000015C9">
                        <w:rPr>
                          <w:rFonts w:asciiTheme="majorHAnsi" w:hAnsiTheme="majorHAnsi" w:cstheme="majorHAnsi"/>
                          <w:sz w:val="14"/>
                          <w:lang w:val="ka-GE"/>
                        </w:rPr>
                        <w:t xml:space="preserve">: </w:t>
                      </w:r>
                      <w:r w:rsidRPr="000015C9">
                        <w:rPr>
                          <w:rFonts w:asciiTheme="majorHAnsi" w:hAnsiTheme="majorHAnsi" w:cstheme="majorHAnsi"/>
                          <w:sz w:val="14"/>
                        </w:rPr>
                        <w:t xml:space="preserve">IMF, </w:t>
                      </w:r>
                      <w:r w:rsidRPr="000015C9">
                        <w:rPr>
                          <w:rFonts w:ascii="Sylfaen" w:hAnsi="Sylfaen" w:cs="Sylfaen"/>
                          <w:sz w:val="14"/>
                          <w:lang w:val="ka-GE"/>
                        </w:rPr>
                        <w:t>ივნისი</w:t>
                      </w:r>
                      <w:r w:rsidRPr="000015C9">
                        <w:rPr>
                          <w:rFonts w:asciiTheme="majorHAnsi" w:hAnsiTheme="majorHAnsi" w:cstheme="majorHAnsi"/>
                          <w:sz w:val="14"/>
                          <w:lang w:val="ka-GE"/>
                        </w:rPr>
                        <w:t xml:space="preserve"> 2020</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p w:rsidR="0004274A" w:rsidRDefault="0004274A" w:rsidP="000B4EB7"/>
                    <w:p w:rsidR="0004274A" w:rsidRPr="003B5120" w:rsidRDefault="0004274A" w:rsidP="000B4EB7">
                      <w:pPr>
                        <w:pStyle w:val="NoSpacing"/>
                        <w:rPr>
                          <w:rFonts w:ascii="Calibri Light" w:hAnsi="Calibri Light" w:cs="Calibri Light"/>
                          <w:i/>
                          <w:iCs/>
                          <w:noProof/>
                          <w:sz w:val="14"/>
                        </w:rPr>
                      </w:pPr>
                      <w:r w:rsidRPr="003B5120">
                        <w:rPr>
                          <w:rFonts w:ascii="Calibri Light" w:hAnsi="Calibri Light" w:cs="Calibri Light"/>
                          <w:sz w:val="14"/>
                          <w:lang w:val="ka-GE"/>
                        </w:rPr>
                        <w:t>წყარო: საქსტატი</w:t>
                      </w:r>
                    </w:p>
                  </w:txbxContent>
                </v:textbox>
                <w10:wrap type="tight"/>
              </v:shape>
            </w:pict>
          </mc:Fallback>
        </mc:AlternateContent>
      </w:r>
    </w:p>
    <w:p w:rsidR="000B4EB7" w:rsidRPr="000B4EB7" w:rsidRDefault="000B4EB7" w:rsidP="000B4EB7">
      <w:pPr>
        <w:rPr>
          <w:lang w:val="ka-GE"/>
        </w:rPr>
      </w:pPr>
    </w:p>
    <w:p w:rsidR="000B4EB7" w:rsidRPr="000B4EB7" w:rsidRDefault="000B4EB7" w:rsidP="000B4EB7">
      <w:pPr>
        <w:rPr>
          <w:lang w:val="ka-GE"/>
        </w:rPr>
      </w:pPr>
    </w:p>
    <w:p w:rsidR="000B4EB7" w:rsidRPr="000B4EB7" w:rsidRDefault="000B4EB7" w:rsidP="000B4EB7">
      <w:pPr>
        <w:rPr>
          <w:lang w:val="ka-GE"/>
        </w:rPr>
      </w:pPr>
    </w:p>
    <w:p w:rsidR="000B4EB7" w:rsidRPr="00531C8D" w:rsidRDefault="000B4EB7" w:rsidP="000B4EB7">
      <w:pPr>
        <w:pStyle w:val="Heading1"/>
        <w:numPr>
          <w:ilvl w:val="0"/>
          <w:numId w:val="4"/>
        </w:numPr>
        <w:ind w:left="360" w:hanging="360"/>
        <w:rPr>
          <w:b/>
          <w:bCs w:val="0"/>
          <w:sz w:val="28"/>
          <w:szCs w:val="28"/>
        </w:rPr>
      </w:pPr>
      <w:r w:rsidRPr="00531C8D">
        <w:rPr>
          <w:b/>
          <w:bCs w:val="0"/>
          <w:sz w:val="28"/>
          <w:szCs w:val="28"/>
        </w:rPr>
        <w:t>ეკონომიკური მიმოხილვა 2020</w:t>
      </w:r>
      <w:r>
        <w:rPr>
          <w:b/>
          <w:bCs w:val="0"/>
          <w:sz w:val="28"/>
          <w:szCs w:val="28"/>
          <w:lang w:val="ka-GE"/>
        </w:rPr>
        <w:t xml:space="preserve"> წელს</w:t>
      </w:r>
    </w:p>
    <w:p w:rsidR="000B4EB7" w:rsidRPr="000A4D4A" w:rsidRDefault="000B4EB7" w:rsidP="0014592A">
      <w:pPr>
        <w:spacing w:line="276" w:lineRule="auto"/>
        <w:ind w:firstLine="540"/>
        <w:jc w:val="both"/>
        <w:rPr>
          <w:rFonts w:ascii="Sylfaen" w:hAnsi="Sylfaen" w:cs="Segoe UI"/>
          <w:sz w:val="20"/>
          <w:szCs w:val="20"/>
        </w:rPr>
      </w:pPr>
      <w:r w:rsidRPr="000A4D4A">
        <w:rPr>
          <w:rFonts w:ascii="Sylfaen" w:hAnsi="Sylfaen" w:cs="Segoe UI"/>
          <w:sz w:val="20"/>
          <w:szCs w:val="20"/>
        </w:rPr>
        <w:t>2020 წლის ეკონომიკურ ზრდაზე ყველაზე დიდი გავლენა იქონია ტურიზმთან დაკავშირებულმა სექტორმა, რასაც საქართველოს ეკონომიკის 10-12 პროცენტი უჭირავს. წლების განმავლობაში საქართველოს ეკონომიკაში ტურიზმის წილი მაღალი ტემპებით იზრდებოდა, რამაც ეკონომიკა მნიშვნელოვნად დამოკიდებული გახადა ამ სექტორზე. ტურიზმის სექტორმა პანდემიის შედეგად დიდი დარტყმა მიიღო და თითქმის 100 პროცენტით შემცირდა. ამავე დროს მსოფლიოსა და რეგიონში განვითარებული ნეგატიური ეკონომიკური მოვლენების გათვალისწინებით, ეკონომიკური ზრდის პროგნოზი 2020 წლისათვის -4.9</w:t>
      </w:r>
      <w:r w:rsidR="00CD7662">
        <w:rPr>
          <w:rFonts w:ascii="Sylfaen" w:hAnsi="Sylfaen" w:cs="Segoe UI"/>
          <w:sz w:val="20"/>
          <w:szCs w:val="20"/>
        </w:rPr>
        <w:t xml:space="preserve"> </w:t>
      </w:r>
      <w:r w:rsidR="00CD7662">
        <w:rPr>
          <w:rFonts w:ascii="Sylfaen" w:hAnsi="Sylfaen" w:cs="Segoe UI"/>
          <w:sz w:val="20"/>
          <w:szCs w:val="20"/>
          <w:lang w:val="ka-GE"/>
        </w:rPr>
        <w:t>პროცენტის</w:t>
      </w:r>
      <w:r w:rsidRPr="000A4D4A">
        <w:rPr>
          <w:rFonts w:ascii="Sylfaen" w:hAnsi="Sylfaen" w:cs="Segoe UI"/>
          <w:sz w:val="20"/>
          <w:szCs w:val="20"/>
        </w:rPr>
        <w:t xml:space="preserve"> დონეზეა მოსალოდნელი. </w:t>
      </w:r>
    </w:p>
    <w:p w:rsidR="000B4EB7" w:rsidRPr="000A4D4A" w:rsidRDefault="000B4EB7" w:rsidP="0014592A">
      <w:pPr>
        <w:spacing w:line="276" w:lineRule="auto"/>
        <w:ind w:firstLine="540"/>
        <w:jc w:val="both"/>
        <w:rPr>
          <w:rFonts w:ascii="Sylfaen" w:hAnsi="Sylfaen" w:cs="Segoe UI"/>
          <w:sz w:val="20"/>
          <w:szCs w:val="20"/>
          <w:lang w:val="ka-GE"/>
        </w:rPr>
      </w:pPr>
      <w:r w:rsidRPr="000A4D4A">
        <w:rPr>
          <w:rFonts w:ascii="Sylfaen" w:hAnsi="Sylfaen" w:cs="Segoe UI"/>
          <w:sz w:val="20"/>
          <w:szCs w:val="20"/>
          <w:lang w:val="ka-GE"/>
        </w:rPr>
        <w:t>საქართველოს ეკონომიკისთვის პანდემიამ ერთი მხრივ იმოქმედა ერთობლივი მოთხოვნის მხარეს ტურიტული მომსახურების ექსპორტის კლების, ხოლო მეორე მხრივ, მობილობის შემცირების გამო შეაფერხა სამომხმარებლო პროდუქტების მიწოდების არხები, რამაც პანდემიის გავრცელების საწყის ეტაპზე ინფლაციის ზრდა გამოიწვია. ანალოგიური ტენდენცია იყო მსოფლიოს თითქმის ყველა ქვეყანაში. მოგვიანებით, ივნისი-ივლისიდან, მოთხოვნის შემცირების ეფექტმა გადააჭარბა მიწოდების ეფექტს. შედეგად ინფლაციის მაჩვენებელმა შემცირება დაიწყო და სეზონურად შესწორებული ფასების ცვლილება წინა თვესთან შედარებით უარყოფითი გახდა.</w:t>
      </w:r>
      <w:r w:rsidR="0014592A" w:rsidRPr="000A4D4A">
        <w:rPr>
          <w:rFonts w:ascii="Sylfaen" w:hAnsi="Sylfaen" w:cs="Segoe UI"/>
          <w:sz w:val="20"/>
          <w:szCs w:val="20"/>
          <w:lang w:val="ka-GE"/>
        </w:rPr>
        <w:t xml:space="preserve"> </w:t>
      </w:r>
    </w:p>
    <w:p w:rsidR="0014592A" w:rsidRDefault="0014592A" w:rsidP="0014592A">
      <w:pPr>
        <w:spacing w:line="276" w:lineRule="auto"/>
        <w:ind w:firstLine="540"/>
        <w:jc w:val="both"/>
        <w:rPr>
          <w:rFonts w:ascii="Segoe UI" w:hAnsi="Segoe UI" w:cs="Segoe UI"/>
          <w:sz w:val="20"/>
          <w:szCs w:val="20"/>
          <w:lang w:val="ka-GE"/>
        </w:rPr>
      </w:pPr>
      <w:r>
        <w:rPr>
          <w:noProof/>
        </w:rPr>
        <w:drawing>
          <wp:anchor distT="0" distB="0" distL="114300" distR="114300" simplePos="0" relativeHeight="251666432" behindDoc="0" locked="0" layoutInCell="1" allowOverlap="1" wp14:anchorId="5CF1B36B" wp14:editId="3F7D06EF">
            <wp:simplePos x="0" y="0"/>
            <wp:positionH relativeFrom="column">
              <wp:posOffset>55880</wp:posOffset>
            </wp:positionH>
            <wp:positionV relativeFrom="paragraph">
              <wp:posOffset>226695</wp:posOffset>
            </wp:positionV>
            <wp:extent cx="3267075" cy="2409825"/>
            <wp:effectExtent l="0" t="0" r="0" b="0"/>
            <wp:wrapTopAndBottom/>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3B5120">
        <w:rPr>
          <w:rFonts w:ascii="Calibri" w:eastAsia="Calibri" w:hAnsi="Calibri" w:cs="Times New Roman"/>
          <w:noProof/>
        </w:rPr>
        <mc:AlternateContent>
          <mc:Choice Requires="wps">
            <w:drawing>
              <wp:anchor distT="0" distB="0" distL="114300" distR="114300" simplePos="0" relativeHeight="251668480" behindDoc="1" locked="0" layoutInCell="1" allowOverlap="1" wp14:anchorId="3A7FCA5A" wp14:editId="5382BC21">
                <wp:simplePos x="0" y="0"/>
                <wp:positionH relativeFrom="column">
                  <wp:posOffset>109855</wp:posOffset>
                </wp:positionH>
                <wp:positionV relativeFrom="paragraph">
                  <wp:posOffset>2711450</wp:posOffset>
                </wp:positionV>
                <wp:extent cx="3213100" cy="133350"/>
                <wp:effectExtent l="0" t="0" r="6350" b="0"/>
                <wp:wrapTopAndBottom/>
                <wp:docPr id="28" name="Text Box 28"/>
                <wp:cNvGraphicFramePr/>
                <a:graphic xmlns:a="http://schemas.openxmlformats.org/drawingml/2006/main">
                  <a:graphicData uri="http://schemas.microsoft.com/office/word/2010/wordprocessingShape">
                    <wps:wsp>
                      <wps:cNvSpPr txBox="1"/>
                      <wps:spPr>
                        <a:xfrm>
                          <a:off x="0" y="0"/>
                          <a:ext cx="3213100" cy="133350"/>
                        </a:xfrm>
                        <a:prstGeom prst="rect">
                          <a:avLst/>
                        </a:prstGeom>
                        <a:solidFill>
                          <a:prstClr val="white"/>
                        </a:solidFill>
                        <a:ln>
                          <a:noFill/>
                        </a:ln>
                      </wps:spPr>
                      <wps:txbx>
                        <w:txbxContent>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FCA5A" id="Text Box 28" o:spid="_x0000_s1028" type="#_x0000_t202" style="position:absolute;left:0;text-align:left;margin-left:8.65pt;margin-top:213.5pt;width:253pt;height: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" stroked="f">
                <v:textbox inset="0,0,0,0">
                  <w:txbxContent>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v:textbox>
                <w10:wrap type="topAndBottom"/>
              </v:shape>
            </w:pict>
          </mc:Fallback>
        </mc:AlternateContent>
      </w:r>
      <w:r w:rsidRPr="003B5120">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59782B3C" wp14:editId="721F7030">
                <wp:simplePos x="0" y="0"/>
                <wp:positionH relativeFrom="column">
                  <wp:posOffset>0</wp:posOffset>
                </wp:positionH>
                <wp:positionV relativeFrom="paragraph">
                  <wp:posOffset>-635</wp:posOffset>
                </wp:positionV>
                <wp:extent cx="3197860" cy="229870"/>
                <wp:effectExtent l="0" t="0" r="2540" b="0"/>
                <wp:wrapNone/>
                <wp:docPr id="27" name="Text Box 27"/>
                <wp:cNvGraphicFramePr/>
                <a:graphic xmlns:a="http://schemas.openxmlformats.org/drawingml/2006/main">
                  <a:graphicData uri="http://schemas.microsoft.com/office/word/2010/wordprocessingShape">
                    <wps:wsp>
                      <wps:cNvSpPr txBox="1"/>
                      <wps:spPr>
                        <a:xfrm>
                          <a:off x="0" y="0"/>
                          <a:ext cx="3197860" cy="229870"/>
                        </a:xfrm>
                        <a:prstGeom prst="rect">
                          <a:avLst/>
                        </a:prstGeom>
                        <a:solidFill>
                          <a:prstClr val="white"/>
                        </a:solidFill>
                        <a:ln>
                          <a:noFill/>
                        </a:ln>
                      </wps:spPr>
                      <wps:txbx>
                        <w:txbxContent>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82B3C" id="Text Box 27" o:spid="_x0000_s1029" type="#_x0000_t202" style="position:absolute;left:0;text-align:left;margin-left:0;margin-top:-.05pt;width:251.8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" stroked="f">
                <v:textbox inset="0,0,0,0">
                  <w:txbxContent>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2</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ინფლაციის</w:t>
                      </w:r>
                      <w:r w:rsidRPr="000015C9">
                        <w:rPr>
                          <w:rFonts w:cstheme="minorHAnsi"/>
                          <w:i w:val="0"/>
                          <w:iCs w:val="0"/>
                          <w:lang w:val="ka-GE"/>
                        </w:rPr>
                        <w:t xml:space="preserve"> </w:t>
                      </w:r>
                      <w:r w:rsidRPr="000015C9">
                        <w:rPr>
                          <w:rFonts w:ascii="Sylfaen" w:hAnsi="Sylfaen" w:cs="Sylfaen"/>
                          <w:i w:val="0"/>
                          <w:iCs w:val="0"/>
                          <w:lang w:val="ka-GE"/>
                        </w:rPr>
                        <w:t>დინამიკა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v:shape>
            </w:pict>
          </mc:Fallback>
        </mc:AlternateContent>
      </w:r>
    </w:p>
    <w:p w:rsidR="0014592A" w:rsidRDefault="0004274A" w:rsidP="0014592A">
      <w:pPr>
        <w:spacing w:line="276" w:lineRule="auto"/>
        <w:ind w:firstLine="540"/>
        <w:jc w:val="both"/>
        <w:rPr>
          <w:rFonts w:ascii="Segoe UI" w:hAnsi="Segoe UI"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673600" behindDoc="1" locked="0" layoutInCell="1" allowOverlap="1" wp14:anchorId="530C0407" wp14:editId="44150A48">
                <wp:simplePos x="0" y="0"/>
                <wp:positionH relativeFrom="column">
                  <wp:posOffset>487680</wp:posOffset>
                </wp:positionH>
                <wp:positionV relativeFrom="paragraph">
                  <wp:posOffset>5294630</wp:posOffset>
                </wp:positionV>
                <wp:extent cx="3213100" cy="133350"/>
                <wp:effectExtent l="0" t="0" r="6350" b="0"/>
                <wp:wrapTopAndBottom/>
                <wp:docPr id="31" name="Text Box 31"/>
                <wp:cNvGraphicFramePr/>
                <a:graphic xmlns:a="http://schemas.openxmlformats.org/drawingml/2006/main">
                  <a:graphicData uri="http://schemas.microsoft.com/office/word/2010/wordprocessingShape">
                    <wps:wsp>
                      <wps:cNvSpPr txBox="1"/>
                      <wps:spPr>
                        <a:xfrm>
                          <a:off x="0" y="0"/>
                          <a:ext cx="3213100" cy="133350"/>
                        </a:xfrm>
                        <a:prstGeom prst="rect">
                          <a:avLst/>
                        </a:prstGeom>
                        <a:solidFill>
                          <a:prstClr val="white"/>
                        </a:solidFill>
                        <a:ln>
                          <a:noFill/>
                        </a:ln>
                      </wps:spPr>
                      <wps:txbx>
                        <w:txbxContent>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C0407" id="Text Box 31" o:spid="_x0000_s1030" type="#_x0000_t202" style="position:absolute;left:0;text-align:left;margin-left:38.4pt;margin-top:416.9pt;width:253pt;height:1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" stroked="f">
                <v:textbox inset="0,0,0,0">
                  <w:txbxContent>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0015C9" w:rsidRDefault="0004274A" w:rsidP="0014592A">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საქსტატი</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4592A"/>
                    <w:p w:rsidR="0004274A" w:rsidRPr="003B5120" w:rsidRDefault="0004274A" w:rsidP="0014592A">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v:textbox>
                <w10:wrap type="topAndBottom"/>
              </v:shape>
            </w:pict>
          </mc:Fallback>
        </mc:AlternateContent>
      </w:r>
      <w:r>
        <w:rPr>
          <w:noProof/>
        </w:rPr>
        <w:drawing>
          <wp:inline distT="0" distB="0" distL="0" distR="0" wp14:anchorId="75D91D9B" wp14:editId="2B464BB3">
            <wp:extent cx="5381625" cy="22574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B533F" w:rsidRPr="003B5120">
        <w:rPr>
          <w:rFonts w:ascii="Calibri" w:eastAsia="Calibri" w:hAnsi="Calibri" w:cs="Times New Roman"/>
          <w:noProof/>
        </w:rPr>
        <mc:AlternateContent>
          <mc:Choice Requires="wps">
            <w:drawing>
              <wp:anchor distT="0" distB="0" distL="114300" distR="114300" simplePos="0" relativeHeight="251670528" behindDoc="0" locked="0" layoutInCell="1" allowOverlap="1" wp14:anchorId="762FF358" wp14:editId="2897650A">
                <wp:simplePos x="0" y="0"/>
                <wp:positionH relativeFrom="column">
                  <wp:posOffset>55880</wp:posOffset>
                </wp:positionH>
                <wp:positionV relativeFrom="paragraph">
                  <wp:posOffset>2785745</wp:posOffset>
                </wp:positionV>
                <wp:extent cx="3197860" cy="229870"/>
                <wp:effectExtent l="0" t="0" r="2540" b="0"/>
                <wp:wrapTopAndBottom/>
                <wp:docPr id="30" name="Text Box 30"/>
                <wp:cNvGraphicFramePr/>
                <a:graphic xmlns:a="http://schemas.openxmlformats.org/drawingml/2006/main">
                  <a:graphicData uri="http://schemas.microsoft.com/office/word/2010/wordprocessingShape">
                    <wps:wsp>
                      <wps:cNvSpPr txBox="1"/>
                      <wps:spPr>
                        <a:xfrm>
                          <a:off x="0" y="0"/>
                          <a:ext cx="3197860" cy="229870"/>
                        </a:xfrm>
                        <a:prstGeom prst="rect">
                          <a:avLst/>
                        </a:prstGeom>
                        <a:solidFill>
                          <a:prstClr val="white"/>
                        </a:solidFill>
                        <a:ln>
                          <a:noFill/>
                        </a:ln>
                      </wps:spPr>
                      <wps:txbx>
                        <w:txbxContent>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FF358" id="Text Box 30" o:spid="_x0000_s1031" type="#_x0000_t202" style="position:absolute;left:0;text-align:left;margin-left:4.4pt;margin-top:219.35pt;width:251.8pt;height:1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" stroked="f">
                <v:textbox inset="0,0,0,0">
                  <w:txbxContent>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0015C9" w:rsidRDefault="0004274A" w:rsidP="0014592A">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3</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ეკონომიკური</w:t>
                      </w:r>
                      <w:r w:rsidRPr="000015C9">
                        <w:rPr>
                          <w:rFonts w:cstheme="minorHAnsi"/>
                          <w:i w:val="0"/>
                          <w:iCs w:val="0"/>
                          <w:lang w:val="ka-GE"/>
                        </w:rPr>
                        <w:t xml:space="preserve"> </w:t>
                      </w:r>
                      <w:r w:rsidRPr="000015C9">
                        <w:rPr>
                          <w:rFonts w:ascii="Sylfaen" w:hAnsi="Sylfaen" w:cs="Sylfaen"/>
                          <w:i w:val="0"/>
                          <w:iCs w:val="0"/>
                          <w:lang w:val="ka-GE"/>
                        </w:rPr>
                        <w:t>ზრდა</w:t>
                      </w:r>
                      <w:r w:rsidRPr="000015C9">
                        <w:rPr>
                          <w:rFonts w:cstheme="minorHAnsi"/>
                          <w:i w:val="0"/>
                          <w:iCs w:val="0"/>
                          <w:lang w:val="ka-GE"/>
                        </w:rPr>
                        <w:t>, 2020</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4592A"/>
                    <w:p w:rsidR="0004274A" w:rsidRPr="003B5120" w:rsidRDefault="0004274A" w:rsidP="0014592A">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p w:rsidR="000B4EB7" w:rsidRPr="000A4D4A" w:rsidRDefault="000B4EB7" w:rsidP="0014592A">
      <w:pPr>
        <w:spacing w:line="276" w:lineRule="auto"/>
        <w:ind w:firstLine="540"/>
        <w:jc w:val="both"/>
        <w:rPr>
          <w:rFonts w:ascii="Sylfaen" w:hAnsi="Sylfaen" w:cs="Segoe UI"/>
          <w:sz w:val="20"/>
          <w:szCs w:val="20"/>
        </w:rPr>
      </w:pPr>
      <w:r w:rsidRPr="000A4D4A">
        <w:rPr>
          <w:rFonts w:ascii="Sylfaen" w:hAnsi="Sylfaen" w:cs="Segoe UI"/>
          <w:sz w:val="20"/>
          <w:szCs w:val="20"/>
          <w:lang w:val="ka-GE"/>
        </w:rPr>
        <w:t>პირველი კვარტლის ბოლოსაკენ რამდენამდე პროგნოზირებადი გახდა პანდემი</w:t>
      </w:r>
      <w:r w:rsidR="00D86BED">
        <w:rPr>
          <w:rFonts w:ascii="Sylfaen" w:hAnsi="Sylfaen" w:cs="Segoe UI"/>
          <w:sz w:val="20"/>
          <w:szCs w:val="20"/>
          <w:lang w:val="ka-GE"/>
        </w:rPr>
        <w:t>ა</w:t>
      </w:r>
      <w:r w:rsidRPr="000A4D4A">
        <w:rPr>
          <w:rFonts w:ascii="Sylfaen" w:hAnsi="Sylfaen" w:cs="Segoe UI"/>
          <w:sz w:val="20"/>
          <w:szCs w:val="20"/>
          <w:lang w:val="ka-GE"/>
        </w:rPr>
        <w:t>ს</w:t>
      </w:r>
      <w:r w:rsidR="00D86BED">
        <w:rPr>
          <w:rFonts w:ascii="Sylfaen" w:hAnsi="Sylfaen" w:cs="Segoe UI"/>
          <w:sz w:val="20"/>
          <w:szCs w:val="20"/>
          <w:lang w:val="ka-GE"/>
        </w:rPr>
        <w:t>თან დაკავშირებული გლობალური კრიზისის სიმძიმე</w:t>
      </w:r>
      <w:r w:rsidRPr="000A4D4A">
        <w:rPr>
          <w:rFonts w:ascii="Sylfaen" w:hAnsi="Sylfaen" w:cs="Segoe UI"/>
          <w:sz w:val="20"/>
          <w:szCs w:val="20"/>
          <w:lang w:val="ka-GE"/>
        </w:rPr>
        <w:t xml:space="preserve">, რაც, </w:t>
      </w:r>
      <w:r w:rsidR="00D86BED">
        <w:rPr>
          <w:rFonts w:ascii="Sylfaen" w:hAnsi="Sylfaen" w:cs="Segoe UI"/>
          <w:sz w:val="20"/>
          <w:szCs w:val="20"/>
          <w:lang w:val="ka-GE"/>
        </w:rPr>
        <w:t xml:space="preserve">მომსახუროების წმინდა ექსპორტიორ ქვეყნებისთვის </w:t>
      </w:r>
      <w:r w:rsidRPr="000A4D4A">
        <w:rPr>
          <w:rFonts w:ascii="Sylfaen" w:hAnsi="Sylfaen" w:cs="Segoe UI"/>
          <w:sz w:val="20"/>
          <w:szCs w:val="20"/>
          <w:lang w:val="ka-GE"/>
        </w:rPr>
        <w:t xml:space="preserve">პირველ რიგში მიმდინარე ანგარიშის პრობლემებში იჩენდა თავს. შედეგად, არსებულმა მოლოდინებმა ერთი მხრივ მიმდინარე ანგარიშის გაუარესების და შესაბამისად უცხოურ ვალუტაზე მოთხოვნის ზრდის შესახებ, ხოლო მეორე მხრივ ფინანსურ ანგარიშში ინვესტიციების შემცირების მოლოდინებმა შექმნა ლიკვიდობის შოკი, რამაც </w:t>
      </w:r>
      <w:r w:rsidRPr="000A4D4A">
        <w:rPr>
          <w:rFonts w:ascii="Sylfaen" w:hAnsi="Sylfaen" w:cs="Segoe UI"/>
          <w:sz w:val="20"/>
          <w:szCs w:val="20"/>
        </w:rPr>
        <w:t xml:space="preserve">მომენტალური გავლენა იქონია გაცვლით კურსზე. თუმცა, საერთაშორისო სავალუტო ფონდთან წარმატებულმა მოლაპარაკებებმა და დონორებთან მიღწეულმა შეთანხმებამ დაფინანსების მოზიდვის შესახებ, აღნიშნული რისკები მოხსნა და მეორე კვარტალში გაცვლითი კურსი დასტაბილურდა. მიუხედავად იმისა, რომ აღნიშნული ლიკვიდობის შოკის რისკი მოხსნილია, </w:t>
      </w:r>
      <w:r w:rsidR="00BD7F05">
        <w:rPr>
          <w:rFonts w:ascii="Sylfaen" w:hAnsi="Sylfaen" w:cs="Segoe UI"/>
          <w:sz w:val="20"/>
          <w:szCs w:val="20"/>
          <w:lang w:val="ka-GE"/>
        </w:rPr>
        <w:t>სავაჭრო პარტნიორი ქვეყნების ვალუტების (</w:t>
      </w:r>
      <w:r w:rsidRPr="000A4D4A">
        <w:rPr>
          <w:rFonts w:ascii="Sylfaen" w:hAnsi="Sylfaen" w:cs="Segoe UI"/>
          <w:sz w:val="20"/>
          <w:szCs w:val="20"/>
        </w:rPr>
        <w:t>თურქულ</w:t>
      </w:r>
      <w:r w:rsidR="00D86BED">
        <w:rPr>
          <w:rFonts w:ascii="Sylfaen" w:hAnsi="Sylfaen" w:cs="Segoe UI"/>
          <w:sz w:val="20"/>
          <w:szCs w:val="20"/>
          <w:lang w:val="ka-GE"/>
        </w:rPr>
        <w:t>ი</w:t>
      </w:r>
      <w:r w:rsidRPr="000A4D4A">
        <w:rPr>
          <w:rFonts w:ascii="Sylfaen" w:hAnsi="Sylfaen" w:cs="Segoe UI"/>
          <w:sz w:val="20"/>
          <w:szCs w:val="20"/>
        </w:rPr>
        <w:t xml:space="preserve"> </w:t>
      </w:r>
      <w:r w:rsidR="00D86BED" w:rsidRPr="000A4D4A">
        <w:rPr>
          <w:rFonts w:ascii="Sylfaen" w:hAnsi="Sylfaen" w:cs="Segoe UI"/>
          <w:sz w:val="20"/>
          <w:szCs w:val="20"/>
        </w:rPr>
        <w:t>ლირ</w:t>
      </w:r>
      <w:r w:rsidR="00D86BED">
        <w:rPr>
          <w:rFonts w:ascii="Sylfaen" w:hAnsi="Sylfaen" w:cs="Segoe UI"/>
          <w:sz w:val="20"/>
          <w:szCs w:val="20"/>
          <w:lang w:val="ka-GE"/>
        </w:rPr>
        <w:t>ისა</w:t>
      </w:r>
      <w:r w:rsidR="00D86BED" w:rsidRPr="000A4D4A">
        <w:rPr>
          <w:rFonts w:ascii="Sylfaen" w:hAnsi="Sylfaen" w:cs="Segoe UI"/>
          <w:sz w:val="20"/>
          <w:szCs w:val="20"/>
        </w:rPr>
        <w:t xml:space="preserve"> </w:t>
      </w:r>
      <w:r w:rsidR="00D86BED">
        <w:rPr>
          <w:rFonts w:ascii="Sylfaen" w:hAnsi="Sylfaen" w:cs="Segoe UI"/>
          <w:sz w:val="20"/>
          <w:szCs w:val="20"/>
          <w:lang w:val="ka-GE"/>
        </w:rPr>
        <w:t>და რუბლის</w:t>
      </w:r>
      <w:r w:rsidR="00BD7F05">
        <w:rPr>
          <w:rFonts w:ascii="Sylfaen" w:hAnsi="Sylfaen" w:cs="Segoe UI"/>
          <w:sz w:val="20"/>
          <w:szCs w:val="20"/>
          <w:lang w:val="ka-GE"/>
        </w:rPr>
        <w:t>)</w:t>
      </w:r>
      <w:r w:rsidR="00D86BED">
        <w:rPr>
          <w:rFonts w:ascii="Sylfaen" w:hAnsi="Sylfaen" w:cs="Segoe UI"/>
          <w:sz w:val="20"/>
          <w:szCs w:val="20"/>
          <w:lang w:val="ka-GE"/>
        </w:rPr>
        <w:t xml:space="preserve"> გაუფასურება </w:t>
      </w:r>
      <w:r w:rsidR="005074EE">
        <w:rPr>
          <w:rFonts w:ascii="Sylfaen" w:hAnsi="Sylfaen" w:cs="Segoe UI"/>
          <w:sz w:val="20"/>
          <w:szCs w:val="20"/>
          <w:lang w:val="ka-GE"/>
        </w:rPr>
        <w:t xml:space="preserve">კვლავ </w:t>
      </w:r>
      <w:r w:rsidR="00D86BED">
        <w:rPr>
          <w:rFonts w:ascii="Sylfaen" w:hAnsi="Sylfaen" w:cs="Segoe UI"/>
          <w:sz w:val="20"/>
          <w:szCs w:val="20"/>
          <w:lang w:val="ka-GE"/>
        </w:rPr>
        <w:t xml:space="preserve">ქმნის </w:t>
      </w:r>
      <w:r w:rsidRPr="000A4D4A">
        <w:rPr>
          <w:rFonts w:ascii="Sylfaen" w:hAnsi="Sylfaen" w:cs="Segoe UI"/>
          <w:sz w:val="20"/>
          <w:szCs w:val="20"/>
        </w:rPr>
        <w:t>გარკვეულ რისკებს. მეორეს მხრივ, შესუსტებული დოლარი ამცირებს შემდგომი გაუფასურების რისკებს.</w:t>
      </w:r>
    </w:p>
    <w:p w:rsidR="000B4EB7" w:rsidRPr="000A4D4A" w:rsidRDefault="000B4EB7" w:rsidP="0014592A">
      <w:pPr>
        <w:spacing w:line="276" w:lineRule="auto"/>
        <w:ind w:firstLine="540"/>
        <w:jc w:val="both"/>
        <w:rPr>
          <w:rFonts w:ascii="Sylfaen" w:hAnsi="Sylfaen" w:cs="Segoe UI"/>
          <w:sz w:val="20"/>
          <w:szCs w:val="20"/>
        </w:rPr>
      </w:pPr>
      <w:r w:rsidRPr="000A4D4A">
        <w:rPr>
          <w:rFonts w:ascii="Sylfaen" w:hAnsi="Sylfaen" w:cs="Segoe UI"/>
          <w:sz w:val="20"/>
          <w:szCs w:val="20"/>
        </w:rPr>
        <w:t>მას შემდეგ რაც იანვარ-თებერვალში ეკონომიკურმა ზრდამ 4.3 პროცენტი შეადგინა. პანდემიის რისკების აქტიურად გამოჩენის შემდეგ მარტ-მაისში ეკონომიკური კლებამ 10.7 პროცენტი შეადგინა. ივნისში ეს კლება 7.7 პროცენტამდე შემცირდა და წლის მეორე ნახევარში სავარაუდო ეკონომიკური კლება 4.3 პროცენტს შეადგენს, რაც იმას ნიშნავს რომ არატურისტულ სექტორში ჯამურად ეკონომიკური კლება განულებულია. საერთო ჯამში, 2020 წელს ეკონომიკური შემცირება -4.9 პროცენტის დონეზეა მოსალოდნელი.</w:t>
      </w:r>
    </w:p>
    <w:p w:rsidR="000B4EB7" w:rsidRPr="000A4D4A" w:rsidRDefault="000B4EB7" w:rsidP="0014592A">
      <w:pPr>
        <w:ind w:firstLine="540"/>
        <w:jc w:val="both"/>
        <w:rPr>
          <w:rFonts w:ascii="Sylfaen" w:hAnsi="Sylfaen" w:cs="Segoe UI"/>
          <w:sz w:val="20"/>
          <w:szCs w:val="20"/>
        </w:rPr>
      </w:pPr>
      <w:r w:rsidRPr="000A4D4A">
        <w:rPr>
          <w:rFonts w:ascii="Sylfaen" w:hAnsi="Sylfaen" w:cs="Segoe UI"/>
          <w:sz w:val="20"/>
          <w:szCs w:val="20"/>
          <w:lang w:val="ka-GE"/>
        </w:rPr>
        <w:t xml:space="preserve">პანდემიის შედეგად მნიშვნელოვანი გაუარესება მოხდა საგარეო ბალანსში. წლის პირველ ნახევარში, საქონლისა და მომსახურების ექსპორტიდან საქართველოს ეკონომიკამ დაახლოებით 1.7 მილიარდი აშშ დოლარი დაკარგა. მათ შორის, 1 მლრდ მხოლოდ ტურიზმიდან, სხვა მომსახურებიდან დაახლოებით 400 მლნ., რეექსპორტი შემცირდა დაახლოებით 250 მილიონით, ხოლო ადგილობრივი ექსპორტი მხოლოდ 32 მილიონით (-2.9 პროცენტი). ამასთან, მნიშვნელოვნად შემცირდა საქონლის იმპორტიც (840 მილიონი აშშ დოლარით), რამაც, მომსახურების იმპორტის კლებასთან ერთად, დანაკლისის 80 პროცენტამდე კომპენსირება მოახდინა. შესაბამისად, საბოლოო ჯამში </w:t>
      </w:r>
      <w:r w:rsidR="0014592A" w:rsidRPr="000A4D4A">
        <w:rPr>
          <w:rFonts w:ascii="Sylfaen" w:hAnsi="Sylfaen" w:cs="Segoe UI"/>
          <w:sz w:val="20"/>
          <w:szCs w:val="20"/>
          <w:lang w:val="ka-GE"/>
        </w:rPr>
        <w:t xml:space="preserve"> მიმდინარე ანგარიშის დეფიციტის ორნიშნა დონეზე დაბრუნება მოსალოდნელი არ არის. 2020 წლისთვის მიმდინარე ანგარიშის დეფიციტის </w:t>
      </w:r>
      <w:r w:rsidRPr="000A4D4A">
        <w:rPr>
          <w:rFonts w:ascii="Sylfaen" w:hAnsi="Sylfaen" w:cs="Segoe UI"/>
          <w:sz w:val="20"/>
          <w:szCs w:val="20"/>
          <w:lang w:val="ka-GE"/>
        </w:rPr>
        <w:t>პროგნოზი მშპ-ს 9.</w:t>
      </w:r>
      <w:r w:rsidR="002251EA">
        <w:rPr>
          <w:rFonts w:ascii="Sylfaen" w:hAnsi="Sylfaen" w:cs="Segoe UI"/>
          <w:sz w:val="20"/>
          <w:szCs w:val="20"/>
        </w:rPr>
        <w:t>2</w:t>
      </w:r>
      <w:r w:rsidRPr="000A4D4A">
        <w:rPr>
          <w:rFonts w:ascii="Sylfaen" w:hAnsi="Sylfaen" w:cs="Segoe UI"/>
          <w:sz w:val="20"/>
          <w:szCs w:val="20"/>
          <w:lang w:val="ka-GE"/>
        </w:rPr>
        <w:t xml:space="preserve"> პროცენტს შეადგენს.</w:t>
      </w:r>
      <w:r w:rsidR="0014592A" w:rsidRPr="000A4D4A">
        <w:rPr>
          <w:rFonts w:ascii="Sylfaen" w:hAnsi="Sylfaen" w:cs="Segoe UI"/>
          <w:sz w:val="20"/>
          <w:szCs w:val="20"/>
        </w:rPr>
        <w:t xml:space="preserve"> </w:t>
      </w:r>
    </w:p>
    <w:p w:rsidR="00F729C6" w:rsidRDefault="00954905" w:rsidP="00954905">
      <w:pPr>
        <w:jc w:val="both"/>
        <w:rPr>
          <w:rFonts w:ascii="Sylfaen" w:hAnsi="Sylfaen"/>
          <w:lang w:val="ka-GE"/>
        </w:rPr>
      </w:pPr>
      <w:r>
        <w:rPr>
          <w:noProof/>
        </w:rPr>
        <w:drawing>
          <wp:anchor distT="0" distB="0" distL="114300" distR="114300" simplePos="0" relativeHeight="251727872" behindDoc="0" locked="0" layoutInCell="1" allowOverlap="1" wp14:anchorId="0FA38849" wp14:editId="0FB00687">
            <wp:simplePos x="0" y="0"/>
            <wp:positionH relativeFrom="column">
              <wp:posOffset>-4445</wp:posOffset>
            </wp:positionH>
            <wp:positionV relativeFrom="paragraph">
              <wp:posOffset>467360</wp:posOffset>
            </wp:positionV>
            <wp:extent cx="3213100" cy="2571750"/>
            <wp:effectExtent l="0" t="0" r="6350" b="0"/>
            <wp:wrapTopAndBottom/>
            <wp:docPr id="3" name="Chart 3">
              <a:extLst xmlns:a="http://schemas.openxmlformats.org/drawingml/2006/main">
                <a:ext uri="{FF2B5EF4-FFF2-40B4-BE49-F238E27FC236}">
                  <a16:creationId xmlns:a16="http://schemas.microsoft.com/office/drawing/2014/main" id="{624068EF-9FBB-492F-9FE9-BA76A2952C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F729C6" w:rsidRPr="003B5120">
        <w:rPr>
          <w:rFonts w:ascii="Calibri" w:eastAsia="Calibri" w:hAnsi="Calibri" w:cs="Times New Roman"/>
          <w:noProof/>
        </w:rPr>
        <mc:AlternateContent>
          <mc:Choice Requires="wps">
            <w:drawing>
              <wp:anchor distT="0" distB="0" distL="114300" distR="114300" simplePos="0" relativeHeight="251675648" behindDoc="0" locked="0" layoutInCell="1" allowOverlap="1" wp14:anchorId="6EF730BF" wp14:editId="1C160913">
                <wp:simplePos x="0" y="0"/>
                <wp:positionH relativeFrom="column">
                  <wp:posOffset>71755</wp:posOffset>
                </wp:positionH>
                <wp:positionV relativeFrom="paragraph">
                  <wp:posOffset>240030</wp:posOffset>
                </wp:positionV>
                <wp:extent cx="3197860" cy="229870"/>
                <wp:effectExtent l="0" t="0" r="2540" b="0"/>
                <wp:wrapTopAndBottom/>
                <wp:docPr id="34" name="Text Box 34"/>
                <wp:cNvGraphicFramePr/>
                <a:graphic xmlns:a="http://schemas.openxmlformats.org/drawingml/2006/main">
                  <a:graphicData uri="http://schemas.microsoft.com/office/word/2010/wordprocessingShape">
                    <wps:wsp>
                      <wps:cNvSpPr txBox="1"/>
                      <wps:spPr>
                        <a:xfrm>
                          <a:off x="0" y="0"/>
                          <a:ext cx="3197860" cy="229870"/>
                        </a:xfrm>
                        <a:prstGeom prst="rect">
                          <a:avLst/>
                        </a:prstGeom>
                        <a:solidFill>
                          <a:prstClr val="white"/>
                        </a:solidFill>
                        <a:ln>
                          <a:noFill/>
                        </a:ln>
                      </wps:spPr>
                      <wps:txbx>
                        <w:txbxContent>
                          <w:p w:rsidR="0004274A" w:rsidRPr="000015C9" w:rsidRDefault="0004274A"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0015C9" w:rsidRDefault="0004274A"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0015C9" w:rsidRDefault="0004274A"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0015C9" w:rsidRDefault="0004274A"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0015C9" w:rsidRDefault="0004274A"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0015C9" w:rsidRDefault="0004274A"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0015C9" w:rsidRDefault="0004274A"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0015C9" w:rsidRDefault="0004274A"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730BF" id="Text Box 34" o:spid="_x0000_s1032" type="#_x0000_t202" style="position:absolute;left:0;text-align:left;margin-left:5.65pt;margin-top:18.9pt;width:251.8pt;height:1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" stroked="f">
                <v:textbox inset="0,0,0,0">
                  <w:txbxContent>
                    <w:p w:rsidR="0004274A" w:rsidRPr="000015C9" w:rsidRDefault="0004274A"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0015C9" w:rsidRDefault="0004274A"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0015C9" w:rsidRDefault="0004274A"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0015C9" w:rsidRDefault="0004274A"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0015C9" w:rsidRDefault="0004274A"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0015C9" w:rsidRDefault="0004274A"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0015C9" w:rsidRDefault="0004274A"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0015C9" w:rsidRDefault="0004274A" w:rsidP="00F729C6">
                      <w:pPr>
                        <w:pStyle w:val="Caption"/>
                        <w:rPr>
                          <w:rFonts w:eastAsia="+mn-ea" w:cstheme="minorHAnsi"/>
                          <w:i w:val="0"/>
                          <w:iCs w:val="0"/>
                          <w:color w:val="000000"/>
                          <w:kern w:val="24"/>
                        </w:rPr>
                      </w:pPr>
                      <w:r w:rsidRPr="000015C9">
                        <w:rPr>
                          <w:rFonts w:ascii="Sylfaen" w:hAnsi="Sylfaen" w:cs="Sylfaen"/>
                          <w:i w:val="0"/>
                          <w:iCs w:val="0"/>
                        </w:rPr>
                        <w:t>დიაგრამა</w:t>
                      </w:r>
                      <w:r w:rsidRPr="000015C9">
                        <w:rPr>
                          <w:rFonts w:cstheme="minorHAnsi"/>
                          <w:i w:val="0"/>
                          <w:iCs w:val="0"/>
                        </w:rPr>
                        <w:t xml:space="preserve"> </w:t>
                      </w:r>
                      <w:r w:rsidRPr="000015C9">
                        <w:rPr>
                          <w:rFonts w:cstheme="minorHAnsi"/>
                          <w:i w:val="0"/>
                          <w:iCs w:val="0"/>
                          <w:lang w:val="ka-GE"/>
                        </w:rPr>
                        <w:t>4</w:t>
                      </w:r>
                      <w:r w:rsidRPr="000015C9">
                        <w:rPr>
                          <w:rFonts w:cstheme="minorHAnsi"/>
                          <w:i w:val="0"/>
                          <w:iCs w:val="0"/>
                          <w:noProof/>
                        </w:rPr>
                        <w:t>:</w:t>
                      </w:r>
                      <w:r w:rsidRPr="000015C9">
                        <w:rPr>
                          <w:rFonts w:cstheme="minorHAnsi"/>
                          <w:i w:val="0"/>
                          <w:iCs w:val="0"/>
                          <w:lang w:val="ka-GE"/>
                        </w:rPr>
                        <w:t xml:space="preserve"> </w:t>
                      </w:r>
                      <w:r w:rsidRPr="000015C9">
                        <w:rPr>
                          <w:rFonts w:ascii="Sylfaen" w:hAnsi="Sylfaen" w:cs="Sylfaen"/>
                          <w:i w:val="0"/>
                          <w:iCs w:val="0"/>
                          <w:lang w:val="ka-GE"/>
                        </w:rPr>
                        <w:t>მიმდინარე</w:t>
                      </w:r>
                      <w:r w:rsidRPr="000015C9">
                        <w:rPr>
                          <w:rFonts w:cstheme="minorHAnsi"/>
                          <w:i w:val="0"/>
                          <w:iCs w:val="0"/>
                          <w:lang w:val="ka-GE"/>
                        </w:rPr>
                        <w:t xml:space="preserve"> </w:t>
                      </w:r>
                      <w:r w:rsidRPr="000015C9">
                        <w:rPr>
                          <w:rFonts w:ascii="Sylfaen" w:hAnsi="Sylfaen" w:cs="Sylfaen"/>
                          <w:i w:val="0"/>
                          <w:iCs w:val="0"/>
                          <w:lang w:val="ka-GE"/>
                        </w:rPr>
                        <w:t>ანგარიშის</w:t>
                      </w:r>
                      <w:r w:rsidRPr="000015C9">
                        <w:rPr>
                          <w:rFonts w:cstheme="minorHAnsi"/>
                          <w:i w:val="0"/>
                          <w:iCs w:val="0"/>
                          <w:lang w:val="ka-GE"/>
                        </w:rPr>
                        <w:t xml:space="preserve"> </w:t>
                      </w:r>
                      <w:r w:rsidRPr="000015C9">
                        <w:rPr>
                          <w:rFonts w:ascii="Sylfaen" w:hAnsi="Sylfaen" w:cs="Sylfaen"/>
                          <w:i w:val="0"/>
                          <w:iCs w:val="0"/>
                          <w:lang w:val="ka-GE"/>
                        </w:rPr>
                        <w:t>დეფიციტი</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F729C6"/>
                    <w:p w:rsidR="0004274A" w:rsidRPr="003B5120" w:rsidRDefault="0004274A" w:rsidP="00F729C6">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p w:rsidR="00954905" w:rsidRDefault="00954905" w:rsidP="00F729C6">
      <w:pPr>
        <w:tabs>
          <w:tab w:val="left" w:pos="900"/>
        </w:tabs>
        <w:rPr>
          <w:rFonts w:ascii="Sylfaen" w:hAnsi="Sylfaen"/>
          <w:lang w:val="ka-GE"/>
        </w:rPr>
      </w:pPr>
    </w:p>
    <w:p w:rsidR="00954905" w:rsidRDefault="00954905" w:rsidP="00F729C6">
      <w:pPr>
        <w:tabs>
          <w:tab w:val="left" w:pos="900"/>
        </w:tabs>
        <w:rPr>
          <w:rFonts w:ascii="Sylfaen" w:hAnsi="Sylfaen"/>
          <w:lang w:val="ka-GE"/>
        </w:rPr>
      </w:pPr>
      <w:r w:rsidRPr="003B5120">
        <w:rPr>
          <w:rFonts w:ascii="Calibri" w:eastAsia="Calibri" w:hAnsi="Calibri" w:cs="Times New Roman"/>
          <w:noProof/>
        </w:rPr>
        <mc:AlternateContent>
          <mc:Choice Requires="wps">
            <w:drawing>
              <wp:anchor distT="0" distB="0" distL="114300" distR="114300" simplePos="0" relativeHeight="251679744" behindDoc="1" locked="0" layoutInCell="1" allowOverlap="1" wp14:anchorId="1466D0C8" wp14:editId="476448F2">
                <wp:simplePos x="0" y="0"/>
                <wp:positionH relativeFrom="column">
                  <wp:posOffset>-4445</wp:posOffset>
                </wp:positionH>
                <wp:positionV relativeFrom="paragraph">
                  <wp:posOffset>104775</wp:posOffset>
                </wp:positionV>
                <wp:extent cx="3213100" cy="133350"/>
                <wp:effectExtent l="0" t="0" r="6350" b="0"/>
                <wp:wrapTopAndBottom/>
                <wp:docPr id="35" name="Text Box 35"/>
                <wp:cNvGraphicFramePr/>
                <a:graphic xmlns:a="http://schemas.openxmlformats.org/drawingml/2006/main">
                  <a:graphicData uri="http://schemas.microsoft.com/office/word/2010/wordprocessingShape">
                    <wps:wsp>
                      <wps:cNvSpPr txBox="1"/>
                      <wps:spPr>
                        <a:xfrm>
                          <a:off x="0" y="0"/>
                          <a:ext cx="3213100" cy="133350"/>
                        </a:xfrm>
                        <a:prstGeom prst="rect">
                          <a:avLst/>
                        </a:prstGeom>
                        <a:solidFill>
                          <a:prstClr val="white"/>
                        </a:solidFill>
                        <a:ln>
                          <a:noFill/>
                        </a:ln>
                      </wps:spPr>
                      <wps:txbx>
                        <w:txbxContent>
                          <w:p w:rsidR="0004274A" w:rsidRPr="000015C9" w:rsidRDefault="0004274A" w:rsidP="00F729C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0015C9" w:rsidRDefault="0004274A" w:rsidP="00F729C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0015C9" w:rsidRDefault="0004274A" w:rsidP="00F729C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0015C9" w:rsidRDefault="0004274A" w:rsidP="00F729C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0015C9" w:rsidRDefault="0004274A" w:rsidP="00F729C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0015C9" w:rsidRDefault="0004274A" w:rsidP="00F729C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0015C9" w:rsidRDefault="0004274A" w:rsidP="00F729C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0015C9" w:rsidRDefault="0004274A" w:rsidP="00F729C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6D0C8" id="Text Box 35" o:spid="_x0000_s1033" type="#_x0000_t202" style="position:absolute;margin-left:-.35pt;margin-top:8.25pt;width:253pt;height:1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" stroked="f">
                <v:textbox inset="0,0,0,0">
                  <w:txbxContent>
                    <w:p w:rsidR="0004274A" w:rsidRPr="000015C9" w:rsidRDefault="0004274A" w:rsidP="00F729C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0015C9" w:rsidRDefault="0004274A" w:rsidP="00F729C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0015C9" w:rsidRDefault="0004274A" w:rsidP="00F729C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0015C9" w:rsidRDefault="0004274A" w:rsidP="00F729C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0015C9" w:rsidRDefault="0004274A" w:rsidP="00F729C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0015C9" w:rsidRDefault="0004274A" w:rsidP="00F729C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0015C9" w:rsidRDefault="0004274A" w:rsidP="00F729C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0015C9" w:rsidRDefault="0004274A" w:rsidP="00F729C6">
                      <w:pPr>
                        <w:pStyle w:val="Caption"/>
                        <w:rPr>
                          <w:rFonts w:asciiTheme="majorHAnsi" w:hAnsiTheme="majorHAnsi" w:cstheme="majorHAnsi"/>
                          <w:i w:val="0"/>
                          <w:iCs w:val="0"/>
                          <w:noProof/>
                          <w:sz w:val="14"/>
                          <w:lang w:val="ka-GE"/>
                        </w:rPr>
                      </w:pPr>
                      <w:r w:rsidRPr="000015C9">
                        <w:rPr>
                          <w:rFonts w:ascii="Sylfaen" w:hAnsi="Sylfaen" w:cs="Sylfaen"/>
                          <w:i w:val="0"/>
                          <w:iCs w:val="0"/>
                          <w:sz w:val="14"/>
                          <w:lang w:val="ka-GE"/>
                        </w:rPr>
                        <w:t>წყარო</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სებ</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საქართველოს</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ფინანსთა</w:t>
                      </w:r>
                      <w:r w:rsidRPr="000015C9">
                        <w:rPr>
                          <w:rFonts w:asciiTheme="majorHAnsi" w:hAnsiTheme="majorHAnsi" w:cstheme="majorHAnsi"/>
                          <w:i w:val="0"/>
                          <w:iCs w:val="0"/>
                          <w:sz w:val="14"/>
                          <w:lang w:val="ka-GE"/>
                        </w:rPr>
                        <w:t xml:space="preserve"> </w:t>
                      </w:r>
                      <w:r w:rsidRPr="000015C9">
                        <w:rPr>
                          <w:rFonts w:ascii="Sylfaen" w:hAnsi="Sylfaen" w:cs="Sylfaen"/>
                          <w:i w:val="0"/>
                          <w:iCs w:val="0"/>
                          <w:sz w:val="14"/>
                          <w:lang w:val="ka-GE"/>
                        </w:rPr>
                        <w:t>სამინსიტრო</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F729C6"/>
                    <w:p w:rsidR="0004274A" w:rsidRPr="003B5120" w:rsidRDefault="0004274A" w:rsidP="00F729C6">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v:textbox>
                <w10:wrap type="topAndBottom"/>
              </v:shape>
            </w:pict>
          </mc:Fallback>
        </mc:AlternateContent>
      </w:r>
    </w:p>
    <w:p w:rsidR="000A4D4A" w:rsidRPr="005D4934" w:rsidRDefault="000A4D4A" w:rsidP="000A4D4A">
      <w:pPr>
        <w:pStyle w:val="Heading1"/>
        <w:numPr>
          <w:ilvl w:val="0"/>
          <w:numId w:val="4"/>
        </w:numPr>
        <w:ind w:left="360" w:hanging="360"/>
        <w:rPr>
          <w:b/>
          <w:bCs w:val="0"/>
          <w:sz w:val="28"/>
          <w:szCs w:val="28"/>
          <w:lang w:val="ka-GE"/>
        </w:rPr>
      </w:pPr>
      <w:r w:rsidRPr="005D4934">
        <w:rPr>
          <w:b/>
          <w:bCs w:val="0"/>
          <w:sz w:val="28"/>
          <w:szCs w:val="28"/>
          <w:lang w:val="ka-GE"/>
        </w:rPr>
        <w:t>საშუალოვადიანი პერიოდის ეკონომიკის განვითარების პერსპექტივები</w:t>
      </w:r>
    </w:p>
    <w:p w:rsidR="000A4D4A" w:rsidRPr="000A4D4A" w:rsidRDefault="000A4D4A" w:rsidP="000A4D4A">
      <w:pPr>
        <w:spacing w:line="276" w:lineRule="auto"/>
        <w:ind w:firstLine="540"/>
        <w:jc w:val="both"/>
        <w:rPr>
          <w:rFonts w:ascii="Sylfaen" w:hAnsi="Sylfaen" w:cs="Segoe UI"/>
          <w:sz w:val="20"/>
          <w:szCs w:val="20"/>
        </w:rPr>
      </w:pPr>
      <w:r w:rsidRPr="000A4D4A">
        <w:rPr>
          <w:rFonts w:ascii="Sylfaen" w:hAnsi="Sylfaen" w:cs="Segoe UI"/>
          <w:sz w:val="20"/>
          <w:szCs w:val="20"/>
        </w:rPr>
        <w:t>ახალი კორონავირუსის პანდემიამ არსებითად შეცვალა მსოფლიო ეკონომიკის განვითარების პერსპექტივები. საშუალოვადიან პერიოდში გლობალური ეკონომიკა მნიშვნელოვანი გამოწვევის წინაშე იქნება. საშუალოვადიანი პერიოდის მთავარი შეკითხვაა: იქნება თუ არა მსოფლიო ეკონომიკა ვაქცინის გამოგონების შემდეგ პანდემიის პერიოდამდელის ანალოგიური თუ პანდემია გამოიწვევს სისტემურ ცვლილებებს? ამ შეკითხვაზე პასუხზეა დამოკიდებული, თუ რამდენად სწრაფად აღდგება ეკონომიკური განვითარების დონე და როგორი ფორმის იქნება ეკონომიკის აღდგენა. დღეისათვის მსოფლიოში არ არსებობს ცალსახა პოზიცია საშუალოვადიან პერსპექტივებთან დაკავშირებით. განიხილება ეკონომიკის აღდგენის როგოც „V“ და „U“, ასევე „L“ ფორმის პერსპექტივები.</w:t>
      </w:r>
    </w:p>
    <w:p w:rsidR="000A4D4A" w:rsidRPr="000A4D4A" w:rsidRDefault="000A4D4A" w:rsidP="000A4D4A">
      <w:pPr>
        <w:spacing w:line="276" w:lineRule="auto"/>
        <w:ind w:firstLine="540"/>
        <w:jc w:val="both"/>
        <w:rPr>
          <w:rFonts w:ascii="Sylfaen" w:hAnsi="Sylfaen" w:cs="Segoe UI"/>
          <w:sz w:val="20"/>
          <w:szCs w:val="20"/>
        </w:rPr>
      </w:pPr>
      <w:r w:rsidRPr="000A4D4A">
        <w:rPr>
          <w:rFonts w:ascii="Sylfaen" w:hAnsi="Sylfaen" w:cs="Segoe UI"/>
          <w:sz w:val="20"/>
          <w:szCs w:val="20"/>
        </w:rPr>
        <w:t xml:space="preserve">მიუხედავად იმისა, რომ არსებობს გავრცელებული კონსენსუსი, რომ ვაქცინის გამოგონების პროცესი მომავალი წლის დასაწყისში დასრულდება და მომავალი წლის ბოლომდე ვაქცინა ყველასთვის ხელმსაწვდომი გახდება, მსოფლიო ეკონომიკის სწრაფი აღდგენა („V“ ფორმის აღდგენა) ნაკლებად სავარაუდოა. </w:t>
      </w:r>
    </w:p>
    <w:p w:rsidR="000A4D4A" w:rsidRPr="000A4D4A" w:rsidRDefault="000A4D4A" w:rsidP="000A4D4A">
      <w:pPr>
        <w:spacing w:line="276" w:lineRule="auto"/>
        <w:ind w:firstLine="540"/>
        <w:jc w:val="both"/>
        <w:rPr>
          <w:rFonts w:ascii="Sylfaen" w:hAnsi="Sylfaen" w:cs="Segoe UI"/>
          <w:sz w:val="20"/>
          <w:szCs w:val="20"/>
        </w:rPr>
      </w:pPr>
      <w:r w:rsidRPr="000A4D4A">
        <w:rPr>
          <w:rFonts w:ascii="Sylfaen" w:hAnsi="Sylfaen" w:cs="Segoe UI"/>
          <w:sz w:val="20"/>
          <w:szCs w:val="20"/>
        </w:rPr>
        <w:t>ეს დაშვება დამყარებულია იმ მოსაზრებაზე, რომ მსოფლიო ეკონომიკა პანდემიის შემდგომ ვერ იქნება პანდემიამდელის მსგავსი. ამის მთავარი მიზეზი ისაა, რომ პანდემია გამოიწვევს სისტემურ ცვლილებებს და გაზრდის მსოფლიო ეკონომიკაში არსებული რისკების მატერიალიზაციის ალბათობას.</w:t>
      </w:r>
    </w:p>
    <w:p w:rsidR="000A4D4A" w:rsidRDefault="000A4D4A" w:rsidP="000A4D4A">
      <w:pPr>
        <w:spacing w:line="276" w:lineRule="auto"/>
        <w:ind w:firstLine="540"/>
        <w:jc w:val="both"/>
        <w:rPr>
          <w:rFonts w:ascii="Sylfaen" w:hAnsi="Sylfaen" w:cs="Segoe UI"/>
          <w:sz w:val="20"/>
          <w:szCs w:val="20"/>
        </w:rPr>
      </w:pPr>
      <w:r w:rsidRPr="000A4D4A">
        <w:rPr>
          <w:rFonts w:ascii="Sylfaen" w:hAnsi="Sylfaen" w:cs="Segoe UI"/>
          <w:sz w:val="20"/>
          <w:szCs w:val="20"/>
        </w:rPr>
        <w:t xml:space="preserve">აქედან გამომდინარე, საშუალოვადიანი პერიოდის ეკონომიკური განვითარების აღდგენის პერსპექტივების შესაფასებლად მნიშვნელოვანია ეკონომიკური რისკ ფაქტორების ანალიზი, რომელიც მოცემულია </w:t>
      </w:r>
      <w:r w:rsidR="002251EA">
        <w:rPr>
          <w:rFonts w:ascii="Sylfaen" w:hAnsi="Sylfaen" w:cs="Segoe UI"/>
          <w:sz w:val="20"/>
          <w:szCs w:val="20"/>
          <w:lang w:val="ka-GE"/>
        </w:rPr>
        <w:t>მეოთხე</w:t>
      </w:r>
      <w:r w:rsidRPr="000A4D4A">
        <w:rPr>
          <w:rFonts w:ascii="Sylfaen" w:hAnsi="Sylfaen" w:cs="Segoe UI"/>
          <w:sz w:val="20"/>
          <w:szCs w:val="20"/>
        </w:rPr>
        <w:t xml:space="preserve"> თავში. </w:t>
      </w:r>
    </w:p>
    <w:p w:rsidR="00806A24" w:rsidRDefault="00806A24" w:rsidP="00954905">
      <w:pPr>
        <w:pStyle w:val="Heading1"/>
        <w:numPr>
          <w:ilvl w:val="0"/>
          <w:numId w:val="4"/>
        </w:numPr>
        <w:ind w:left="360" w:hanging="360"/>
        <w:rPr>
          <w:b/>
          <w:sz w:val="28"/>
          <w:szCs w:val="28"/>
          <w:lang w:val="ka-GE"/>
        </w:rPr>
      </w:pPr>
      <w:r w:rsidRPr="00954905">
        <w:rPr>
          <w:b/>
          <w:bCs w:val="0"/>
          <w:sz w:val="28"/>
          <w:szCs w:val="28"/>
          <w:lang w:val="ka-GE"/>
        </w:rPr>
        <w:t xml:space="preserve">წინა დოკუმენტში </w:t>
      </w:r>
      <w:r>
        <w:rPr>
          <w:b/>
          <w:bCs w:val="0"/>
          <w:sz w:val="28"/>
          <w:szCs w:val="28"/>
          <w:lang w:val="ka-GE"/>
        </w:rPr>
        <w:t xml:space="preserve">იდენტიფიცირებული რისკების ანალიზი </w:t>
      </w:r>
    </w:p>
    <w:p w:rsidR="00657927" w:rsidRPr="00657927" w:rsidRDefault="00657927" w:rsidP="00954905">
      <w:pPr>
        <w:pStyle w:val="ListParagraph"/>
        <w:numPr>
          <w:ilvl w:val="1"/>
          <w:numId w:val="4"/>
        </w:numPr>
        <w:jc w:val="both"/>
        <w:rPr>
          <w:rFonts w:ascii="Sylfaen" w:hAnsi="Sylfaen"/>
          <w:lang w:val="ka-GE"/>
        </w:rPr>
      </w:pPr>
      <w:r>
        <w:rPr>
          <w:rFonts w:ascii="Sylfaen" w:hAnsi="Sylfaen" w:cs="Sylfaen"/>
          <w:lang w:val="ka-GE"/>
        </w:rPr>
        <w:t xml:space="preserve">რისკების მატერიალიზაციის ანალიზი </w:t>
      </w:r>
    </w:p>
    <w:p w:rsidR="00806A24" w:rsidRPr="00954905" w:rsidRDefault="00E61C69" w:rsidP="00954905">
      <w:pPr>
        <w:ind w:firstLine="540"/>
        <w:jc w:val="both"/>
        <w:rPr>
          <w:rFonts w:ascii="Sylfaen" w:hAnsi="Sylfaen"/>
          <w:lang w:val="ka-GE"/>
        </w:rPr>
      </w:pPr>
      <w:r w:rsidRPr="00657927">
        <w:rPr>
          <w:rFonts w:ascii="Sylfaen" w:hAnsi="Sylfaen" w:cs="Sylfaen"/>
          <w:lang w:val="ka-GE"/>
        </w:rPr>
        <w:t>წინა</w:t>
      </w:r>
      <w:r w:rsidRPr="00954905">
        <w:rPr>
          <w:rFonts w:ascii="Sylfaen" w:hAnsi="Sylfaen"/>
          <w:lang w:val="ka-GE"/>
        </w:rPr>
        <w:t xml:space="preserve"> დოკუმენტში იდენტიფიცირებულ იქნა 6 პოზიტიური და 3 ნეგატიური მაკროეკონომიკური რისკი. მიმდინარე წელს რეალიზებულ იქნა </w:t>
      </w:r>
      <w:r w:rsidR="00657927" w:rsidRPr="00954905">
        <w:rPr>
          <w:rFonts w:ascii="Sylfaen" w:hAnsi="Sylfaen"/>
          <w:lang w:val="ka-GE"/>
        </w:rPr>
        <w:t>1 პოზიტიური და</w:t>
      </w:r>
      <w:r w:rsidR="000B5B7B" w:rsidRPr="000B5B7B">
        <w:rPr>
          <w:rFonts w:ascii="Sylfaen" w:hAnsi="Sylfaen"/>
          <w:lang w:val="ka-GE"/>
        </w:rPr>
        <w:t xml:space="preserve"> 2</w:t>
      </w:r>
      <w:r w:rsidR="00657927" w:rsidRPr="00954905">
        <w:rPr>
          <w:rFonts w:ascii="Sylfaen" w:hAnsi="Sylfaen"/>
          <w:lang w:val="ka-GE"/>
        </w:rPr>
        <w:t xml:space="preserve"> ნეგატიური რისკი</w:t>
      </w:r>
      <w:r w:rsidR="005074EE">
        <w:rPr>
          <w:rFonts w:ascii="Sylfaen" w:hAnsi="Sylfaen"/>
          <w:lang w:val="ka-GE"/>
        </w:rPr>
        <w:t>:</w:t>
      </w:r>
    </w:p>
    <w:p w:rsidR="00657927" w:rsidRPr="005074EE" w:rsidRDefault="00657927" w:rsidP="00954905">
      <w:pPr>
        <w:pStyle w:val="ListParagraph"/>
        <w:numPr>
          <w:ilvl w:val="0"/>
          <w:numId w:val="24"/>
        </w:numPr>
        <w:jc w:val="both"/>
        <w:rPr>
          <w:rFonts w:ascii="Sylfaen" w:hAnsi="Sylfaen"/>
          <w:lang w:val="ka-GE"/>
        </w:rPr>
      </w:pPr>
      <w:r w:rsidRPr="005074EE">
        <w:rPr>
          <w:rFonts w:ascii="Sylfaen" w:hAnsi="Sylfaen"/>
          <w:lang w:val="ka-GE"/>
        </w:rPr>
        <w:t>მთავრობა აგრძელებს საგადასახადო რეფორმების განხორციელებას და ბიზნესისთვის საგადასახადო სისტემ</w:t>
      </w:r>
      <w:r w:rsidR="00D86BED">
        <w:rPr>
          <w:rFonts w:ascii="Sylfaen" w:hAnsi="Sylfaen"/>
          <w:lang w:val="ka-GE"/>
        </w:rPr>
        <w:t>ის გამარტივებას</w:t>
      </w:r>
      <w:r w:rsidRPr="005074EE">
        <w:rPr>
          <w:rFonts w:ascii="Sylfaen" w:hAnsi="Sylfaen"/>
          <w:lang w:val="ka-GE"/>
        </w:rPr>
        <w:t xml:space="preserve">. აქტიურად ხორციელდება დღგ-ს ზედმეტობების ავტომატურ რეჟიმში დაბრუნება, რაც დადებითად აისახება ბიზნესის ნდობაზე. შესაბამისად კი უმჯობესდება ბიზნესისა და მომხმარებელთა ნდობა. </w:t>
      </w:r>
    </w:p>
    <w:p w:rsidR="00657927" w:rsidRDefault="00657927" w:rsidP="00954905">
      <w:pPr>
        <w:pStyle w:val="ListParagraph"/>
        <w:numPr>
          <w:ilvl w:val="0"/>
          <w:numId w:val="24"/>
        </w:numPr>
        <w:jc w:val="both"/>
        <w:rPr>
          <w:rFonts w:ascii="Sylfaen" w:hAnsi="Sylfaen"/>
          <w:lang w:val="ka-GE"/>
        </w:rPr>
      </w:pPr>
      <w:r w:rsidRPr="005074EE">
        <w:rPr>
          <w:rFonts w:ascii="Sylfaen" w:hAnsi="Sylfaen"/>
          <w:lang w:val="ka-GE"/>
        </w:rPr>
        <w:t xml:space="preserve">უარყოფითი რისკების ანალიზისას კი უნდა აღინიშნოს, რომ რეგიონში (და ასევე მთელ მსოფლიოში) შენელებულია ეკონომიკური აქტივობა. </w:t>
      </w:r>
      <w:r w:rsidRPr="005074EE">
        <w:rPr>
          <w:rFonts w:ascii="Sylfaen" w:hAnsi="Sylfaen"/>
        </w:rPr>
        <w:t xml:space="preserve">COVID-19 </w:t>
      </w:r>
      <w:r w:rsidRPr="005074EE">
        <w:rPr>
          <w:rFonts w:ascii="Sylfaen" w:hAnsi="Sylfaen"/>
          <w:lang w:val="ka-GE"/>
        </w:rPr>
        <w:t xml:space="preserve">პანდემიამ, ისევე როგორც დაძაბულმა პოლიტიკურმა ურთიერთობებმა რეგიონში და სანქციების დაწესების საფრთხემ, უარყოფითად იმოქმედა რეგიონის ქვეყნების ეკონომიკაზე და, შედეგად, შენელებულია ეკონომიკური აქტივობა. </w:t>
      </w:r>
    </w:p>
    <w:p w:rsidR="00B529C1" w:rsidRDefault="000B5B7B" w:rsidP="00B529C1">
      <w:pPr>
        <w:pStyle w:val="ListParagraph"/>
        <w:numPr>
          <w:ilvl w:val="0"/>
          <w:numId w:val="24"/>
        </w:numPr>
        <w:jc w:val="both"/>
        <w:rPr>
          <w:rFonts w:ascii="Sylfaen" w:hAnsi="Sylfaen"/>
          <w:lang w:val="ka-GE"/>
        </w:rPr>
      </w:pPr>
      <w:r>
        <w:rPr>
          <w:rFonts w:ascii="Sylfaen" w:hAnsi="Sylfaen"/>
          <w:lang w:val="ka-GE"/>
        </w:rPr>
        <w:t xml:space="preserve">ამასთან ერთად, ადგილი აქვს </w:t>
      </w:r>
      <w:r w:rsidR="00B529C1" w:rsidRPr="00B529C1">
        <w:rPr>
          <w:rFonts w:ascii="Sylfaen" w:hAnsi="Sylfaen"/>
          <w:lang w:val="ka-GE"/>
        </w:rPr>
        <w:t>ნომინალური ეფექტური გაცვლითი კურსის ზეწოლის გაგრძელება</w:t>
      </w:r>
      <w:r>
        <w:rPr>
          <w:rFonts w:ascii="Sylfaen" w:hAnsi="Sylfaen"/>
          <w:lang w:val="ka-GE"/>
        </w:rPr>
        <w:t>ს</w:t>
      </w:r>
      <w:r w:rsidR="00B529C1" w:rsidRPr="00B529C1">
        <w:rPr>
          <w:rFonts w:ascii="Sylfaen" w:hAnsi="Sylfaen"/>
          <w:lang w:val="ka-GE"/>
        </w:rPr>
        <w:t xml:space="preserve"> ინფლაციაზე</w:t>
      </w:r>
      <w:r>
        <w:rPr>
          <w:rFonts w:ascii="Sylfaen" w:hAnsi="Sylfaen"/>
          <w:lang w:val="ka-GE"/>
        </w:rPr>
        <w:t xml:space="preserve">. </w:t>
      </w:r>
    </w:p>
    <w:p w:rsidR="00B529C1" w:rsidRDefault="000B5B7B" w:rsidP="00B529C1">
      <w:pPr>
        <w:pStyle w:val="ListParagraph"/>
        <w:numPr>
          <w:ilvl w:val="0"/>
          <w:numId w:val="24"/>
        </w:numPr>
        <w:jc w:val="both"/>
        <w:rPr>
          <w:rFonts w:ascii="Sylfaen" w:hAnsi="Sylfaen"/>
          <w:lang w:val="ka-GE"/>
        </w:rPr>
      </w:pPr>
      <w:r>
        <w:rPr>
          <w:rFonts w:ascii="Sylfaen" w:hAnsi="Sylfaen"/>
          <w:lang w:val="ka-GE"/>
        </w:rPr>
        <w:t xml:space="preserve">აღსანიშნავია, რომ გარდა წინა დოკუმენტში იდენტიფიცირებული რისკებისა, </w:t>
      </w:r>
      <w:r w:rsidR="00B529C1">
        <w:rPr>
          <w:rFonts w:ascii="Sylfaen" w:hAnsi="Sylfaen"/>
          <w:lang w:val="ka-GE"/>
        </w:rPr>
        <w:t>პანდემიის სახით ისეთი შ</w:t>
      </w:r>
      <w:r w:rsidR="002251EA">
        <w:rPr>
          <w:rFonts w:ascii="Sylfaen" w:hAnsi="Sylfaen"/>
          <w:lang w:val="ka-GE"/>
        </w:rPr>
        <w:t>ო</w:t>
      </w:r>
      <w:r w:rsidR="00B529C1">
        <w:rPr>
          <w:rFonts w:ascii="Sylfaen" w:hAnsi="Sylfaen"/>
          <w:lang w:val="ka-GE"/>
        </w:rPr>
        <w:t>კი მოხდა</w:t>
      </w:r>
      <w:r>
        <w:rPr>
          <w:rFonts w:ascii="Sylfaen" w:hAnsi="Sylfaen"/>
          <w:lang w:val="ka-GE"/>
        </w:rPr>
        <w:t>,</w:t>
      </w:r>
      <w:r w:rsidR="00B529C1">
        <w:rPr>
          <w:rFonts w:ascii="Sylfaen" w:hAnsi="Sylfaen"/>
          <w:lang w:val="ka-GE"/>
        </w:rPr>
        <w:t xml:space="preserve"> რომელსაც არავინ ელოდა</w:t>
      </w:r>
      <w:r w:rsidR="002251EA">
        <w:rPr>
          <w:rFonts w:ascii="Sylfaen" w:hAnsi="Sylfaen"/>
          <w:lang w:val="ka-GE"/>
        </w:rPr>
        <w:t xml:space="preserve">. </w:t>
      </w:r>
      <w:r>
        <w:rPr>
          <w:rFonts w:ascii="Sylfaen" w:hAnsi="Sylfaen"/>
          <w:lang w:val="ka-GE"/>
        </w:rPr>
        <w:t xml:space="preserve">აღნიშნული წარმოადგენს ნეგატიურ შოკს როგორც საქართველოსთვის, ასევე - მსოფლიოსთვის. </w:t>
      </w:r>
    </w:p>
    <w:p w:rsidR="002251EA" w:rsidRPr="005074EE" w:rsidRDefault="002251EA" w:rsidP="00954905">
      <w:pPr>
        <w:pStyle w:val="ListParagraph"/>
        <w:ind w:left="1260"/>
        <w:jc w:val="both"/>
        <w:rPr>
          <w:rFonts w:ascii="Sylfaen" w:hAnsi="Sylfaen"/>
          <w:lang w:val="ka-GE"/>
        </w:rPr>
      </w:pPr>
    </w:p>
    <w:p w:rsidR="00657927" w:rsidRPr="00657927" w:rsidRDefault="00657927" w:rsidP="00657927">
      <w:pPr>
        <w:pStyle w:val="ListParagraph"/>
        <w:numPr>
          <w:ilvl w:val="1"/>
          <w:numId w:val="4"/>
        </w:numPr>
        <w:jc w:val="both"/>
        <w:rPr>
          <w:rFonts w:ascii="Sylfaen" w:hAnsi="Sylfaen"/>
          <w:lang w:val="ka-GE"/>
        </w:rPr>
      </w:pPr>
      <w:r>
        <w:rPr>
          <w:rFonts w:ascii="Sylfaen" w:hAnsi="Sylfaen" w:cs="Sylfaen"/>
          <w:lang w:val="ka-GE"/>
        </w:rPr>
        <w:t xml:space="preserve">პოლიტიკის პასუხების ანალიზი </w:t>
      </w:r>
    </w:p>
    <w:p w:rsidR="00657927" w:rsidRPr="00954905" w:rsidRDefault="00657927" w:rsidP="00954905">
      <w:pPr>
        <w:ind w:firstLine="540"/>
        <w:jc w:val="both"/>
        <w:rPr>
          <w:rFonts w:ascii="Sylfaen" w:hAnsi="Sylfaen"/>
          <w:lang w:val="ka-GE"/>
        </w:rPr>
      </w:pPr>
      <w:r>
        <w:rPr>
          <w:rFonts w:ascii="Sylfaen" w:hAnsi="Sylfaen"/>
          <w:lang w:val="ka-GE"/>
        </w:rPr>
        <w:t>ეკონომიკის ჩაკეტვამ და ტურიზმის შეჩერებამ უარყოფითად იმოქმედა ეკონომიკაზე და განახლდა ეკონომიკური ზრდის პროგნოზები</w:t>
      </w:r>
      <w:r w:rsidR="00D56AF5">
        <w:rPr>
          <w:rFonts w:ascii="Sylfaen" w:hAnsi="Sylfaen"/>
          <w:lang w:val="ka-GE"/>
        </w:rPr>
        <w:t xml:space="preserve">. შესაბამისად, 2020 წლისთვის მოსალოდნელია ეკონომიკური აქტივობის შემცირება, თუმცა გატარებული და დაგეგმილი ღონისძიებები და თანმიმდევრული მაკროეკონომიკური პოლიტიკა ხელს შეუწყობს ქვეყნის ეკონომიკას, რომ ზრდის ტემპი 2021 წელს დაუბრუნდეს 2019 წლის მაჩვენებელს. </w:t>
      </w:r>
    </w:p>
    <w:p w:rsidR="000A4D4A" w:rsidRDefault="00F729C6" w:rsidP="00F729C6">
      <w:pPr>
        <w:tabs>
          <w:tab w:val="left" w:pos="900"/>
        </w:tabs>
        <w:rPr>
          <w:rFonts w:ascii="Sylfaen" w:hAnsi="Sylfaen"/>
          <w:lang w:val="ka-GE"/>
        </w:rPr>
      </w:pPr>
      <w:r>
        <w:rPr>
          <w:rFonts w:ascii="Sylfaen" w:hAnsi="Sylfaen"/>
          <w:lang w:val="ka-GE"/>
        </w:rPr>
        <w:tab/>
      </w:r>
    </w:p>
    <w:p w:rsidR="000A4D4A" w:rsidRPr="005D4934" w:rsidRDefault="000A4D4A" w:rsidP="000A4D4A">
      <w:pPr>
        <w:pStyle w:val="Heading1"/>
        <w:numPr>
          <w:ilvl w:val="0"/>
          <w:numId w:val="4"/>
        </w:numPr>
        <w:ind w:left="360" w:hanging="360"/>
        <w:rPr>
          <w:b/>
          <w:bCs w:val="0"/>
          <w:sz w:val="28"/>
          <w:szCs w:val="28"/>
          <w:lang w:val="ka-GE"/>
        </w:rPr>
      </w:pPr>
      <w:r w:rsidRPr="005D4934">
        <w:rPr>
          <w:b/>
          <w:bCs w:val="0"/>
          <w:sz w:val="28"/>
          <w:szCs w:val="28"/>
          <w:lang w:val="ka-GE"/>
        </w:rPr>
        <w:t>საშუალოვადიანი პერიოდის რისკები</w:t>
      </w:r>
    </w:p>
    <w:p w:rsidR="000A4D4A" w:rsidRPr="000A4D4A" w:rsidRDefault="000A4D4A" w:rsidP="000A4D4A">
      <w:pPr>
        <w:ind w:firstLine="540"/>
        <w:jc w:val="both"/>
        <w:rPr>
          <w:rFonts w:ascii="Sylfaen" w:hAnsi="Sylfaen"/>
          <w:sz w:val="20"/>
        </w:rPr>
      </w:pPr>
      <w:r w:rsidRPr="000A4D4A">
        <w:rPr>
          <w:rFonts w:ascii="Sylfaen" w:hAnsi="Sylfaen" w:cs="Sylfaen"/>
          <w:sz w:val="20"/>
        </w:rPr>
        <w:t>ბოლო</w:t>
      </w:r>
      <w:r w:rsidRPr="000A4D4A">
        <w:rPr>
          <w:rFonts w:ascii="Sylfaen" w:hAnsi="Sylfaen"/>
          <w:sz w:val="20"/>
        </w:rPr>
        <w:t xml:space="preserve"> </w:t>
      </w:r>
      <w:r w:rsidRPr="000A4D4A">
        <w:rPr>
          <w:rFonts w:ascii="Sylfaen" w:hAnsi="Sylfaen" w:cs="Sylfaen"/>
          <w:sz w:val="20"/>
        </w:rPr>
        <w:t>წლებში</w:t>
      </w:r>
      <w:r w:rsidRPr="000A4D4A">
        <w:rPr>
          <w:rFonts w:ascii="Sylfaen" w:hAnsi="Sylfaen"/>
          <w:sz w:val="20"/>
        </w:rPr>
        <w:t xml:space="preserve"> </w:t>
      </w:r>
      <w:r w:rsidRPr="000A4D4A">
        <w:rPr>
          <w:rFonts w:ascii="Sylfaen" w:hAnsi="Sylfaen" w:cs="Sylfaen"/>
          <w:sz w:val="20"/>
        </w:rPr>
        <w:t>საქართველოს</w:t>
      </w:r>
      <w:r w:rsidRPr="000A4D4A">
        <w:rPr>
          <w:rFonts w:ascii="Sylfaen" w:hAnsi="Sylfaen"/>
          <w:sz w:val="20"/>
        </w:rPr>
        <w:t xml:space="preserve"> </w:t>
      </w:r>
      <w:r w:rsidRPr="000A4D4A">
        <w:rPr>
          <w:rFonts w:ascii="Sylfaen" w:hAnsi="Sylfaen" w:cs="Sylfaen"/>
          <w:sz w:val="20"/>
        </w:rPr>
        <w:t>ეკონომიკამ</w:t>
      </w:r>
      <w:r w:rsidRPr="000A4D4A">
        <w:rPr>
          <w:rFonts w:ascii="Sylfaen" w:hAnsi="Sylfaen"/>
          <w:sz w:val="20"/>
        </w:rPr>
        <w:t xml:space="preserve"> </w:t>
      </w:r>
      <w:r w:rsidRPr="000A4D4A">
        <w:rPr>
          <w:rFonts w:ascii="Sylfaen" w:hAnsi="Sylfaen" w:cs="Sylfaen"/>
          <w:sz w:val="20"/>
        </w:rPr>
        <w:t>მნიშვნელოვანი</w:t>
      </w:r>
      <w:r w:rsidRPr="000A4D4A">
        <w:rPr>
          <w:rFonts w:ascii="Sylfaen" w:hAnsi="Sylfaen"/>
          <w:sz w:val="20"/>
        </w:rPr>
        <w:t xml:space="preserve"> </w:t>
      </w:r>
      <w:r w:rsidRPr="000A4D4A">
        <w:rPr>
          <w:rFonts w:ascii="Sylfaen" w:hAnsi="Sylfaen" w:cs="Sylfaen"/>
          <w:sz w:val="20"/>
        </w:rPr>
        <w:t>ეკონომიკური</w:t>
      </w:r>
      <w:r w:rsidRPr="000A4D4A">
        <w:rPr>
          <w:rFonts w:ascii="Sylfaen" w:hAnsi="Sylfaen"/>
          <w:sz w:val="20"/>
        </w:rPr>
        <w:t xml:space="preserve"> </w:t>
      </w:r>
      <w:r w:rsidRPr="000A4D4A">
        <w:rPr>
          <w:rFonts w:ascii="Sylfaen" w:hAnsi="Sylfaen" w:cs="Sylfaen"/>
          <w:sz w:val="20"/>
        </w:rPr>
        <w:t>შოკები</w:t>
      </w:r>
      <w:r w:rsidRPr="000A4D4A">
        <w:rPr>
          <w:rFonts w:ascii="Sylfaen" w:hAnsi="Sylfaen"/>
          <w:sz w:val="20"/>
        </w:rPr>
        <w:t xml:space="preserve"> </w:t>
      </w:r>
      <w:r w:rsidRPr="000A4D4A">
        <w:rPr>
          <w:rFonts w:ascii="Sylfaen" w:hAnsi="Sylfaen" w:cs="Sylfaen"/>
          <w:sz w:val="20"/>
        </w:rPr>
        <w:t>მიიღო</w:t>
      </w:r>
      <w:r w:rsidRPr="000A4D4A">
        <w:rPr>
          <w:rFonts w:ascii="Sylfaen" w:hAnsi="Sylfaen"/>
          <w:sz w:val="20"/>
        </w:rPr>
        <w:t xml:space="preserve">. </w:t>
      </w:r>
      <w:r w:rsidRPr="000A4D4A">
        <w:rPr>
          <w:rFonts w:ascii="Sylfaen" w:hAnsi="Sylfaen" w:cs="Sylfaen"/>
          <w:sz w:val="20"/>
        </w:rPr>
        <w:t>მომავალ</w:t>
      </w:r>
      <w:r w:rsidRPr="000A4D4A">
        <w:rPr>
          <w:rFonts w:ascii="Sylfaen" w:hAnsi="Sylfaen"/>
          <w:sz w:val="20"/>
        </w:rPr>
        <w:t xml:space="preserve"> </w:t>
      </w:r>
      <w:r w:rsidRPr="000A4D4A">
        <w:rPr>
          <w:rFonts w:ascii="Sylfaen" w:hAnsi="Sylfaen" w:cs="Sylfaen"/>
          <w:sz w:val="20"/>
        </w:rPr>
        <w:t>წლებში</w:t>
      </w:r>
      <w:r w:rsidRPr="000A4D4A">
        <w:rPr>
          <w:rFonts w:ascii="Sylfaen" w:hAnsi="Sylfaen"/>
          <w:sz w:val="20"/>
        </w:rPr>
        <w:t xml:space="preserve"> </w:t>
      </w:r>
      <w:r w:rsidRPr="000A4D4A">
        <w:rPr>
          <w:rFonts w:ascii="Sylfaen" w:hAnsi="Sylfaen" w:cs="Sylfaen"/>
          <w:sz w:val="20"/>
        </w:rPr>
        <w:t>მოსალოდნელია</w:t>
      </w:r>
      <w:r w:rsidRPr="000A4D4A">
        <w:rPr>
          <w:rFonts w:ascii="Sylfaen" w:hAnsi="Sylfaen"/>
          <w:sz w:val="20"/>
        </w:rPr>
        <w:t xml:space="preserve"> </w:t>
      </w:r>
      <w:r w:rsidRPr="000A4D4A">
        <w:rPr>
          <w:rFonts w:ascii="Sylfaen" w:hAnsi="Sylfaen" w:cs="Sylfaen"/>
          <w:sz w:val="20"/>
        </w:rPr>
        <w:t>რისკ</w:t>
      </w:r>
      <w:r w:rsidRPr="000A4D4A">
        <w:rPr>
          <w:rFonts w:ascii="Sylfaen" w:hAnsi="Sylfaen"/>
          <w:sz w:val="20"/>
        </w:rPr>
        <w:t xml:space="preserve"> </w:t>
      </w:r>
      <w:r w:rsidRPr="000A4D4A">
        <w:rPr>
          <w:rFonts w:ascii="Sylfaen" w:hAnsi="Sylfaen" w:cs="Sylfaen"/>
          <w:sz w:val="20"/>
        </w:rPr>
        <w:t>ფაქტორების</w:t>
      </w:r>
      <w:r w:rsidRPr="000A4D4A">
        <w:rPr>
          <w:rFonts w:ascii="Sylfaen" w:hAnsi="Sylfaen"/>
          <w:sz w:val="20"/>
        </w:rPr>
        <w:t xml:space="preserve"> </w:t>
      </w:r>
      <w:r w:rsidRPr="000A4D4A">
        <w:rPr>
          <w:rFonts w:ascii="Sylfaen" w:hAnsi="Sylfaen" w:cs="Sylfaen"/>
          <w:sz w:val="20"/>
        </w:rPr>
        <w:t>მნიშვნელოვნად</w:t>
      </w:r>
      <w:r w:rsidRPr="000A4D4A">
        <w:rPr>
          <w:rFonts w:ascii="Sylfaen" w:hAnsi="Sylfaen"/>
          <w:sz w:val="20"/>
        </w:rPr>
        <w:t xml:space="preserve"> </w:t>
      </w:r>
      <w:r w:rsidRPr="000A4D4A">
        <w:rPr>
          <w:rFonts w:ascii="Sylfaen" w:hAnsi="Sylfaen" w:cs="Sylfaen"/>
          <w:sz w:val="20"/>
        </w:rPr>
        <w:t>მომატება</w:t>
      </w:r>
      <w:r w:rsidRPr="000A4D4A">
        <w:rPr>
          <w:rFonts w:ascii="Sylfaen" w:hAnsi="Sylfaen"/>
          <w:sz w:val="20"/>
        </w:rPr>
        <w:t xml:space="preserve"> </w:t>
      </w:r>
      <w:r w:rsidRPr="000A4D4A">
        <w:rPr>
          <w:rFonts w:ascii="Sylfaen" w:hAnsi="Sylfaen" w:cs="Sylfaen"/>
          <w:sz w:val="20"/>
        </w:rPr>
        <w:t>როგორც</w:t>
      </w:r>
      <w:r w:rsidRPr="000A4D4A">
        <w:rPr>
          <w:rFonts w:ascii="Sylfaen" w:hAnsi="Sylfaen"/>
          <w:sz w:val="20"/>
        </w:rPr>
        <w:t xml:space="preserve"> </w:t>
      </w:r>
      <w:r w:rsidRPr="000A4D4A">
        <w:rPr>
          <w:rFonts w:ascii="Sylfaen" w:hAnsi="Sylfaen" w:cs="Sylfaen"/>
          <w:sz w:val="20"/>
        </w:rPr>
        <w:t>გლობალურად</w:t>
      </w:r>
      <w:r w:rsidRPr="000A4D4A">
        <w:rPr>
          <w:rFonts w:ascii="Sylfaen" w:hAnsi="Sylfaen"/>
          <w:sz w:val="20"/>
        </w:rPr>
        <w:t xml:space="preserve">, </w:t>
      </w:r>
      <w:r w:rsidRPr="000A4D4A">
        <w:rPr>
          <w:rFonts w:ascii="Sylfaen" w:hAnsi="Sylfaen" w:cs="Sylfaen"/>
          <w:sz w:val="20"/>
        </w:rPr>
        <w:t>ისე</w:t>
      </w:r>
      <w:r w:rsidRPr="000A4D4A">
        <w:rPr>
          <w:rFonts w:ascii="Sylfaen" w:hAnsi="Sylfaen"/>
          <w:sz w:val="20"/>
        </w:rPr>
        <w:t xml:space="preserve"> - </w:t>
      </w:r>
      <w:r w:rsidRPr="000A4D4A">
        <w:rPr>
          <w:rFonts w:ascii="Sylfaen" w:hAnsi="Sylfaen" w:cs="Sylfaen"/>
          <w:sz w:val="20"/>
        </w:rPr>
        <w:t>რეგიონში</w:t>
      </w:r>
      <w:r w:rsidRPr="000A4D4A">
        <w:rPr>
          <w:rFonts w:ascii="Sylfaen" w:hAnsi="Sylfaen"/>
          <w:sz w:val="20"/>
        </w:rPr>
        <w:t xml:space="preserve">. </w:t>
      </w:r>
      <w:r w:rsidRPr="000A4D4A">
        <w:rPr>
          <w:rFonts w:ascii="Sylfaen" w:hAnsi="Sylfaen" w:cs="Sylfaen"/>
          <w:sz w:val="20"/>
        </w:rPr>
        <w:t>პანდემიის</w:t>
      </w:r>
      <w:r w:rsidRPr="000A4D4A">
        <w:rPr>
          <w:rFonts w:ascii="Sylfaen" w:hAnsi="Sylfaen"/>
          <w:sz w:val="20"/>
        </w:rPr>
        <w:t xml:space="preserve"> </w:t>
      </w:r>
      <w:r w:rsidRPr="000A4D4A">
        <w:rPr>
          <w:rFonts w:ascii="Sylfaen" w:hAnsi="Sylfaen" w:cs="Sylfaen"/>
          <w:sz w:val="20"/>
        </w:rPr>
        <w:t>გამწვავება</w:t>
      </w:r>
      <w:r w:rsidRPr="000A4D4A">
        <w:rPr>
          <w:rFonts w:ascii="Sylfaen" w:hAnsi="Sylfaen"/>
          <w:sz w:val="20"/>
        </w:rPr>
        <w:t xml:space="preserve"> </w:t>
      </w:r>
      <w:r w:rsidRPr="000A4D4A">
        <w:rPr>
          <w:rFonts w:ascii="Sylfaen" w:hAnsi="Sylfaen" w:cs="Sylfaen"/>
          <w:sz w:val="20"/>
        </w:rPr>
        <w:t>თავისთავად</w:t>
      </w:r>
      <w:r w:rsidRPr="000A4D4A">
        <w:rPr>
          <w:rFonts w:ascii="Sylfaen" w:hAnsi="Sylfaen"/>
          <w:sz w:val="20"/>
        </w:rPr>
        <w:t xml:space="preserve"> </w:t>
      </w:r>
      <w:r w:rsidRPr="000A4D4A">
        <w:rPr>
          <w:rFonts w:ascii="Sylfaen" w:hAnsi="Sylfaen" w:cs="Sylfaen"/>
          <w:sz w:val="20"/>
        </w:rPr>
        <w:t>მნიშვნელოვანი</w:t>
      </w:r>
      <w:r w:rsidRPr="000A4D4A">
        <w:rPr>
          <w:rFonts w:ascii="Sylfaen" w:hAnsi="Sylfaen"/>
          <w:sz w:val="20"/>
        </w:rPr>
        <w:t xml:space="preserve"> </w:t>
      </w:r>
      <w:r w:rsidRPr="000A4D4A">
        <w:rPr>
          <w:rFonts w:ascii="Sylfaen" w:hAnsi="Sylfaen" w:cs="Sylfaen"/>
          <w:sz w:val="20"/>
        </w:rPr>
        <w:t>რისკია</w:t>
      </w:r>
      <w:r w:rsidRPr="000A4D4A">
        <w:rPr>
          <w:rFonts w:ascii="Sylfaen" w:hAnsi="Sylfaen"/>
          <w:sz w:val="20"/>
        </w:rPr>
        <w:t xml:space="preserve">, </w:t>
      </w:r>
      <w:r w:rsidRPr="000A4D4A">
        <w:rPr>
          <w:rFonts w:ascii="Sylfaen" w:hAnsi="Sylfaen" w:cs="Sylfaen"/>
          <w:sz w:val="20"/>
        </w:rPr>
        <w:t>თუმცა</w:t>
      </w:r>
      <w:r w:rsidRPr="000A4D4A">
        <w:rPr>
          <w:rFonts w:ascii="Sylfaen" w:hAnsi="Sylfaen"/>
          <w:sz w:val="20"/>
        </w:rPr>
        <w:t xml:space="preserve">, </w:t>
      </w:r>
      <w:r w:rsidRPr="000A4D4A">
        <w:rPr>
          <w:rFonts w:ascii="Sylfaen" w:hAnsi="Sylfaen" w:cs="Sylfaen"/>
          <w:sz w:val="20"/>
        </w:rPr>
        <w:t>ასევე</w:t>
      </w:r>
      <w:r w:rsidRPr="000A4D4A">
        <w:rPr>
          <w:rFonts w:ascii="Sylfaen" w:hAnsi="Sylfaen"/>
          <w:sz w:val="20"/>
        </w:rPr>
        <w:t xml:space="preserve"> </w:t>
      </w:r>
      <w:r w:rsidRPr="000A4D4A">
        <w:rPr>
          <w:rFonts w:ascii="Sylfaen" w:hAnsi="Sylfaen" w:cs="Sylfaen"/>
          <w:sz w:val="20"/>
        </w:rPr>
        <w:t>ძალიან</w:t>
      </w:r>
      <w:r w:rsidRPr="000A4D4A">
        <w:rPr>
          <w:rFonts w:ascii="Sylfaen" w:hAnsi="Sylfaen"/>
          <w:sz w:val="20"/>
        </w:rPr>
        <w:t xml:space="preserve"> </w:t>
      </w:r>
      <w:r w:rsidRPr="000A4D4A">
        <w:rPr>
          <w:rFonts w:ascii="Sylfaen" w:hAnsi="Sylfaen" w:cs="Sylfaen"/>
          <w:sz w:val="20"/>
        </w:rPr>
        <w:t>მნიშვნელოვანია</w:t>
      </w:r>
      <w:r w:rsidRPr="000A4D4A">
        <w:rPr>
          <w:rFonts w:ascii="Sylfaen" w:hAnsi="Sylfaen"/>
          <w:sz w:val="20"/>
        </w:rPr>
        <w:t xml:space="preserve"> </w:t>
      </w:r>
      <w:r w:rsidRPr="000A4D4A">
        <w:rPr>
          <w:rFonts w:ascii="Sylfaen" w:hAnsi="Sylfaen" w:cs="Sylfaen"/>
          <w:sz w:val="20"/>
        </w:rPr>
        <w:t>მისი</w:t>
      </w:r>
      <w:r w:rsidRPr="000A4D4A">
        <w:rPr>
          <w:rFonts w:ascii="Sylfaen" w:hAnsi="Sylfaen"/>
          <w:sz w:val="20"/>
        </w:rPr>
        <w:t xml:space="preserve"> </w:t>
      </w:r>
      <w:r w:rsidRPr="000A4D4A">
        <w:rPr>
          <w:rFonts w:ascii="Sylfaen" w:hAnsi="Sylfaen" w:cs="Sylfaen"/>
          <w:sz w:val="20"/>
        </w:rPr>
        <w:t>არაპირდაპირი</w:t>
      </w:r>
      <w:r w:rsidRPr="000A4D4A">
        <w:rPr>
          <w:rFonts w:ascii="Sylfaen" w:hAnsi="Sylfaen"/>
          <w:sz w:val="20"/>
        </w:rPr>
        <w:t xml:space="preserve"> </w:t>
      </w:r>
      <w:r w:rsidRPr="000A4D4A">
        <w:rPr>
          <w:rFonts w:ascii="Sylfaen" w:hAnsi="Sylfaen" w:cs="Sylfaen"/>
          <w:sz w:val="20"/>
        </w:rPr>
        <w:t>გავლენები</w:t>
      </w:r>
      <w:r w:rsidRPr="000A4D4A">
        <w:rPr>
          <w:rFonts w:ascii="Sylfaen" w:hAnsi="Sylfaen"/>
          <w:sz w:val="20"/>
        </w:rPr>
        <w:t xml:space="preserve"> </w:t>
      </w:r>
      <w:r w:rsidRPr="000A4D4A">
        <w:rPr>
          <w:rFonts w:ascii="Sylfaen" w:hAnsi="Sylfaen" w:cs="Sylfaen"/>
          <w:sz w:val="20"/>
        </w:rPr>
        <w:t>სხვა</w:t>
      </w:r>
      <w:r w:rsidRPr="000A4D4A">
        <w:rPr>
          <w:rFonts w:ascii="Sylfaen" w:hAnsi="Sylfaen"/>
          <w:sz w:val="20"/>
        </w:rPr>
        <w:t xml:space="preserve"> </w:t>
      </w:r>
      <w:r w:rsidRPr="000A4D4A">
        <w:rPr>
          <w:rFonts w:ascii="Sylfaen" w:hAnsi="Sylfaen" w:cs="Sylfaen"/>
          <w:sz w:val="20"/>
        </w:rPr>
        <w:t>რისკების</w:t>
      </w:r>
      <w:r w:rsidRPr="000A4D4A">
        <w:rPr>
          <w:rFonts w:ascii="Sylfaen" w:hAnsi="Sylfaen"/>
          <w:sz w:val="20"/>
        </w:rPr>
        <w:t xml:space="preserve"> </w:t>
      </w:r>
      <w:r w:rsidRPr="000A4D4A">
        <w:rPr>
          <w:rFonts w:ascii="Sylfaen" w:hAnsi="Sylfaen" w:cs="Sylfaen"/>
          <w:sz w:val="20"/>
        </w:rPr>
        <w:t>მატერიალიზაციის</w:t>
      </w:r>
      <w:r w:rsidRPr="000A4D4A">
        <w:rPr>
          <w:rFonts w:ascii="Sylfaen" w:hAnsi="Sylfaen"/>
          <w:sz w:val="20"/>
        </w:rPr>
        <w:t xml:space="preserve"> </w:t>
      </w:r>
      <w:r w:rsidRPr="000A4D4A">
        <w:rPr>
          <w:rFonts w:ascii="Sylfaen" w:hAnsi="Sylfaen" w:cs="Sylfaen"/>
          <w:sz w:val="20"/>
        </w:rPr>
        <w:t>ალბათობაზე</w:t>
      </w:r>
      <w:r w:rsidRPr="000A4D4A">
        <w:rPr>
          <w:rFonts w:ascii="Sylfaen" w:hAnsi="Sylfaen"/>
          <w:sz w:val="20"/>
        </w:rPr>
        <w:t>.</w:t>
      </w:r>
      <w:r w:rsidRPr="000A4D4A">
        <w:rPr>
          <w:rFonts w:ascii="Sylfaen" w:hAnsi="Sylfaen"/>
          <w:sz w:val="20"/>
          <w:lang w:val="ka-GE"/>
        </w:rPr>
        <w:t xml:space="preserve"> </w:t>
      </w:r>
      <w:r w:rsidRPr="000A4D4A">
        <w:rPr>
          <w:rFonts w:ascii="Sylfaen" w:hAnsi="Sylfaen" w:cs="Sylfaen"/>
          <w:sz w:val="20"/>
        </w:rPr>
        <w:t>ქვემოთ</w:t>
      </w:r>
      <w:r w:rsidRPr="000A4D4A">
        <w:rPr>
          <w:rFonts w:ascii="Sylfaen" w:hAnsi="Sylfaen"/>
          <w:sz w:val="20"/>
        </w:rPr>
        <w:t xml:space="preserve"> </w:t>
      </w:r>
      <w:r w:rsidRPr="000A4D4A">
        <w:rPr>
          <w:rFonts w:ascii="Sylfaen" w:hAnsi="Sylfaen" w:cs="Sylfaen"/>
          <w:sz w:val="20"/>
        </w:rPr>
        <w:t>წარმოდგენილია</w:t>
      </w:r>
      <w:r w:rsidRPr="000A4D4A">
        <w:rPr>
          <w:rFonts w:ascii="Sylfaen" w:hAnsi="Sylfaen"/>
          <w:sz w:val="20"/>
        </w:rPr>
        <w:t xml:space="preserve"> </w:t>
      </w:r>
      <w:r w:rsidRPr="000A4D4A">
        <w:rPr>
          <w:rFonts w:ascii="Sylfaen" w:hAnsi="Sylfaen" w:cs="Sylfaen"/>
          <w:sz w:val="20"/>
        </w:rPr>
        <w:t>ქვეყნის</w:t>
      </w:r>
      <w:r w:rsidRPr="000A4D4A">
        <w:rPr>
          <w:rFonts w:ascii="Sylfaen" w:hAnsi="Sylfaen"/>
          <w:sz w:val="20"/>
        </w:rPr>
        <w:t xml:space="preserve"> </w:t>
      </w:r>
      <w:r w:rsidRPr="000A4D4A">
        <w:rPr>
          <w:rFonts w:ascii="Sylfaen" w:hAnsi="Sylfaen" w:cs="Sylfaen"/>
          <w:sz w:val="20"/>
        </w:rPr>
        <w:t>ეკონომიკის</w:t>
      </w:r>
      <w:r w:rsidRPr="000A4D4A">
        <w:rPr>
          <w:rFonts w:ascii="Sylfaen" w:hAnsi="Sylfaen"/>
          <w:sz w:val="20"/>
        </w:rPr>
        <w:t xml:space="preserve"> </w:t>
      </w:r>
      <w:r w:rsidRPr="000A4D4A">
        <w:rPr>
          <w:rFonts w:ascii="Sylfaen" w:hAnsi="Sylfaen" w:cs="Sylfaen"/>
          <w:sz w:val="20"/>
        </w:rPr>
        <w:t>წინაშე</w:t>
      </w:r>
      <w:r w:rsidRPr="000A4D4A">
        <w:rPr>
          <w:rFonts w:ascii="Sylfaen" w:hAnsi="Sylfaen"/>
          <w:sz w:val="20"/>
        </w:rPr>
        <w:t xml:space="preserve"> </w:t>
      </w:r>
      <w:r w:rsidRPr="000A4D4A">
        <w:rPr>
          <w:rFonts w:ascii="Sylfaen" w:hAnsi="Sylfaen" w:cs="Sylfaen"/>
          <w:sz w:val="20"/>
        </w:rPr>
        <w:t>მდგარი</w:t>
      </w:r>
      <w:r w:rsidRPr="000A4D4A">
        <w:rPr>
          <w:rFonts w:ascii="Sylfaen" w:hAnsi="Sylfaen"/>
          <w:sz w:val="20"/>
        </w:rPr>
        <w:t xml:space="preserve"> </w:t>
      </w:r>
      <w:r w:rsidRPr="000A4D4A">
        <w:rPr>
          <w:rFonts w:ascii="Sylfaen" w:hAnsi="Sylfaen" w:cs="Sylfaen"/>
          <w:sz w:val="20"/>
        </w:rPr>
        <w:t>რისკ</w:t>
      </w:r>
      <w:r w:rsidR="00C300FF">
        <w:rPr>
          <w:rFonts w:ascii="Sylfaen" w:hAnsi="Sylfaen"/>
          <w:sz w:val="20"/>
        </w:rPr>
        <w:t>-</w:t>
      </w:r>
      <w:r w:rsidRPr="000A4D4A">
        <w:rPr>
          <w:rFonts w:ascii="Sylfaen" w:hAnsi="Sylfaen" w:cs="Sylfaen"/>
          <w:sz w:val="20"/>
        </w:rPr>
        <w:t>ფაქტორები</w:t>
      </w:r>
      <w:r w:rsidRPr="000A4D4A">
        <w:rPr>
          <w:rFonts w:ascii="Sylfaen" w:hAnsi="Sylfaen"/>
          <w:sz w:val="20"/>
        </w:rPr>
        <w:t>.</w:t>
      </w:r>
    </w:p>
    <w:p w:rsidR="000A4D4A" w:rsidRDefault="000A4D4A" w:rsidP="000A4D4A">
      <w:pPr>
        <w:ind w:firstLine="540"/>
        <w:jc w:val="both"/>
        <w:rPr>
          <w:rFonts w:ascii="Sylfaen" w:hAnsi="Sylfaen"/>
          <w:sz w:val="20"/>
        </w:rPr>
      </w:pPr>
      <w:r w:rsidRPr="000A4D4A">
        <w:rPr>
          <w:rFonts w:ascii="Sylfaen" w:hAnsi="Sylfaen"/>
          <w:sz w:val="20"/>
        </w:rPr>
        <w:t xml:space="preserve"> </w:t>
      </w:r>
      <w:r w:rsidRPr="000A4D4A">
        <w:rPr>
          <w:rFonts w:ascii="Sylfaen" w:hAnsi="Sylfaen" w:cs="Sylfaen"/>
          <w:sz w:val="20"/>
        </w:rPr>
        <w:t>აღნიშნული</w:t>
      </w:r>
      <w:r w:rsidRPr="000A4D4A">
        <w:rPr>
          <w:rFonts w:ascii="Sylfaen" w:hAnsi="Sylfaen"/>
          <w:sz w:val="20"/>
        </w:rPr>
        <w:t xml:space="preserve"> </w:t>
      </w:r>
      <w:r w:rsidRPr="000A4D4A">
        <w:rPr>
          <w:rFonts w:ascii="Sylfaen" w:hAnsi="Sylfaen" w:cs="Sylfaen"/>
          <w:sz w:val="20"/>
        </w:rPr>
        <w:t>რისკ</w:t>
      </w:r>
      <w:r w:rsidR="00C300FF">
        <w:rPr>
          <w:rFonts w:ascii="Sylfaen" w:hAnsi="Sylfaen"/>
          <w:sz w:val="20"/>
        </w:rPr>
        <w:t>-</w:t>
      </w:r>
      <w:r w:rsidRPr="000A4D4A">
        <w:rPr>
          <w:rFonts w:ascii="Sylfaen" w:hAnsi="Sylfaen" w:cs="Sylfaen"/>
          <w:sz w:val="20"/>
        </w:rPr>
        <w:t>ფაქტორების</w:t>
      </w:r>
      <w:r w:rsidRPr="000A4D4A">
        <w:rPr>
          <w:rFonts w:ascii="Sylfaen" w:hAnsi="Sylfaen"/>
          <w:sz w:val="20"/>
        </w:rPr>
        <w:t xml:space="preserve"> </w:t>
      </w:r>
      <w:r w:rsidRPr="000A4D4A">
        <w:rPr>
          <w:rFonts w:ascii="Sylfaen" w:hAnsi="Sylfaen" w:cs="Sylfaen"/>
          <w:sz w:val="20"/>
        </w:rPr>
        <w:t>ალბათობების</w:t>
      </w:r>
      <w:r w:rsidRPr="000A4D4A">
        <w:rPr>
          <w:rFonts w:ascii="Sylfaen" w:hAnsi="Sylfaen"/>
          <w:sz w:val="20"/>
        </w:rPr>
        <w:t xml:space="preserve"> </w:t>
      </w:r>
      <w:r w:rsidRPr="000A4D4A">
        <w:rPr>
          <w:rFonts w:ascii="Sylfaen" w:hAnsi="Sylfaen" w:cs="Sylfaen"/>
          <w:sz w:val="20"/>
        </w:rPr>
        <w:t>ანალიზი</w:t>
      </w:r>
      <w:r w:rsidRPr="000A4D4A">
        <w:rPr>
          <w:rFonts w:ascii="Sylfaen" w:hAnsi="Sylfaen"/>
          <w:sz w:val="20"/>
        </w:rPr>
        <w:t xml:space="preserve"> </w:t>
      </w:r>
      <w:r w:rsidRPr="000A4D4A">
        <w:rPr>
          <w:rFonts w:ascii="Sylfaen" w:hAnsi="Sylfaen" w:cs="Sylfaen"/>
          <w:sz w:val="20"/>
        </w:rPr>
        <w:t>საფუძვლად</w:t>
      </w:r>
      <w:r w:rsidRPr="000A4D4A">
        <w:rPr>
          <w:rFonts w:ascii="Sylfaen" w:hAnsi="Sylfaen"/>
          <w:sz w:val="20"/>
        </w:rPr>
        <w:t xml:space="preserve"> </w:t>
      </w:r>
      <w:r w:rsidRPr="000A4D4A">
        <w:rPr>
          <w:rFonts w:ascii="Sylfaen" w:hAnsi="Sylfaen" w:cs="Sylfaen"/>
          <w:sz w:val="20"/>
        </w:rPr>
        <w:t>ედება</w:t>
      </w:r>
      <w:r w:rsidRPr="000A4D4A">
        <w:rPr>
          <w:rFonts w:ascii="Sylfaen" w:hAnsi="Sylfaen"/>
          <w:sz w:val="20"/>
        </w:rPr>
        <w:t xml:space="preserve"> </w:t>
      </w:r>
      <w:r w:rsidRPr="000A4D4A">
        <w:rPr>
          <w:rFonts w:ascii="Sylfaen" w:hAnsi="Sylfaen" w:cs="Sylfaen"/>
          <w:sz w:val="20"/>
        </w:rPr>
        <w:t>ფინანსთა</w:t>
      </w:r>
      <w:r w:rsidRPr="000A4D4A">
        <w:rPr>
          <w:rFonts w:ascii="Sylfaen" w:hAnsi="Sylfaen"/>
          <w:sz w:val="20"/>
        </w:rPr>
        <w:t xml:space="preserve"> </w:t>
      </w:r>
      <w:r w:rsidRPr="000A4D4A">
        <w:rPr>
          <w:rFonts w:ascii="Sylfaen" w:hAnsi="Sylfaen" w:cs="Sylfaen"/>
          <w:sz w:val="20"/>
        </w:rPr>
        <w:t>სამინისტროს</w:t>
      </w:r>
      <w:r w:rsidRPr="000A4D4A">
        <w:rPr>
          <w:rFonts w:ascii="Sylfaen" w:hAnsi="Sylfaen"/>
          <w:sz w:val="20"/>
        </w:rPr>
        <w:t xml:space="preserve"> </w:t>
      </w:r>
      <w:r w:rsidRPr="000A4D4A">
        <w:rPr>
          <w:rFonts w:ascii="Sylfaen" w:hAnsi="Sylfaen" w:cs="Sylfaen"/>
          <w:sz w:val="20"/>
        </w:rPr>
        <w:t>ეკონომიკური</w:t>
      </w:r>
      <w:r w:rsidRPr="000A4D4A">
        <w:rPr>
          <w:rFonts w:ascii="Sylfaen" w:hAnsi="Sylfaen"/>
          <w:sz w:val="20"/>
        </w:rPr>
        <w:t xml:space="preserve"> </w:t>
      </w:r>
      <w:r w:rsidRPr="000A4D4A">
        <w:rPr>
          <w:rFonts w:ascii="Sylfaen" w:hAnsi="Sylfaen" w:cs="Sylfaen"/>
          <w:sz w:val="20"/>
        </w:rPr>
        <w:t>პროგნოზირების</w:t>
      </w:r>
      <w:r w:rsidRPr="000A4D4A">
        <w:rPr>
          <w:rFonts w:ascii="Sylfaen" w:hAnsi="Sylfaen"/>
          <w:sz w:val="20"/>
        </w:rPr>
        <w:t xml:space="preserve"> </w:t>
      </w:r>
      <w:r w:rsidRPr="000A4D4A">
        <w:rPr>
          <w:rFonts w:ascii="Sylfaen" w:hAnsi="Sylfaen" w:cs="Sylfaen"/>
          <w:sz w:val="20"/>
        </w:rPr>
        <w:t>მოდელის</w:t>
      </w:r>
      <w:r w:rsidRPr="000A4D4A">
        <w:rPr>
          <w:rFonts w:ascii="Sylfaen" w:hAnsi="Sylfaen"/>
          <w:sz w:val="20"/>
        </w:rPr>
        <w:t xml:space="preserve"> </w:t>
      </w:r>
      <w:r w:rsidRPr="000A4D4A">
        <w:rPr>
          <w:rFonts w:ascii="Sylfaen" w:hAnsi="Sylfaen" w:cs="Sylfaen"/>
          <w:sz w:val="20"/>
        </w:rPr>
        <w:t>დაშვებებს</w:t>
      </w:r>
      <w:r w:rsidRPr="000A4D4A">
        <w:rPr>
          <w:rFonts w:ascii="Sylfaen" w:hAnsi="Sylfaen"/>
          <w:sz w:val="20"/>
        </w:rPr>
        <w:t xml:space="preserve">, </w:t>
      </w:r>
      <w:r w:rsidRPr="000A4D4A">
        <w:rPr>
          <w:rFonts w:ascii="Sylfaen" w:hAnsi="Sylfaen" w:cs="Sylfaen"/>
          <w:sz w:val="20"/>
        </w:rPr>
        <w:t>რის</w:t>
      </w:r>
      <w:r w:rsidRPr="000A4D4A">
        <w:rPr>
          <w:rFonts w:ascii="Sylfaen" w:hAnsi="Sylfaen"/>
          <w:sz w:val="20"/>
        </w:rPr>
        <w:t xml:space="preserve"> </w:t>
      </w:r>
      <w:r w:rsidRPr="000A4D4A">
        <w:rPr>
          <w:rFonts w:ascii="Sylfaen" w:hAnsi="Sylfaen" w:cs="Sylfaen"/>
          <w:sz w:val="20"/>
        </w:rPr>
        <w:t>საფუძველზეც</w:t>
      </w:r>
      <w:r w:rsidRPr="000A4D4A">
        <w:rPr>
          <w:rFonts w:ascii="Sylfaen" w:hAnsi="Sylfaen"/>
          <w:sz w:val="20"/>
        </w:rPr>
        <w:t xml:space="preserve"> </w:t>
      </w:r>
      <w:r w:rsidRPr="000A4D4A">
        <w:rPr>
          <w:rFonts w:ascii="Sylfaen" w:hAnsi="Sylfaen" w:cs="Sylfaen"/>
          <w:sz w:val="20"/>
        </w:rPr>
        <w:t>ხდება</w:t>
      </w:r>
      <w:r w:rsidRPr="000A4D4A">
        <w:rPr>
          <w:rFonts w:ascii="Sylfaen" w:hAnsi="Sylfaen"/>
          <w:sz w:val="20"/>
        </w:rPr>
        <w:t xml:space="preserve"> </w:t>
      </w:r>
      <w:r w:rsidRPr="000A4D4A">
        <w:rPr>
          <w:rFonts w:ascii="Sylfaen" w:hAnsi="Sylfaen" w:cs="Sylfaen"/>
          <w:sz w:val="20"/>
        </w:rPr>
        <w:t>საბაზისო</w:t>
      </w:r>
      <w:r w:rsidRPr="000A4D4A">
        <w:rPr>
          <w:rFonts w:ascii="Sylfaen" w:hAnsi="Sylfaen"/>
          <w:sz w:val="20"/>
        </w:rPr>
        <w:t xml:space="preserve">, </w:t>
      </w:r>
      <w:r w:rsidRPr="000A4D4A">
        <w:rPr>
          <w:rFonts w:ascii="Sylfaen" w:hAnsi="Sylfaen" w:cs="Sylfaen"/>
          <w:sz w:val="20"/>
        </w:rPr>
        <w:t>ნეგატიური</w:t>
      </w:r>
      <w:r w:rsidRPr="000A4D4A">
        <w:rPr>
          <w:rFonts w:ascii="Sylfaen" w:hAnsi="Sylfaen"/>
          <w:sz w:val="20"/>
        </w:rPr>
        <w:t xml:space="preserve"> </w:t>
      </w:r>
      <w:r w:rsidRPr="000A4D4A">
        <w:rPr>
          <w:rFonts w:ascii="Sylfaen" w:hAnsi="Sylfaen" w:cs="Sylfaen"/>
          <w:sz w:val="20"/>
        </w:rPr>
        <w:t>და</w:t>
      </w:r>
      <w:r w:rsidRPr="000A4D4A">
        <w:rPr>
          <w:rFonts w:ascii="Sylfaen" w:hAnsi="Sylfaen"/>
          <w:sz w:val="20"/>
        </w:rPr>
        <w:t xml:space="preserve"> </w:t>
      </w:r>
      <w:r w:rsidRPr="000A4D4A">
        <w:rPr>
          <w:rFonts w:ascii="Sylfaen" w:hAnsi="Sylfaen" w:cs="Sylfaen"/>
          <w:sz w:val="20"/>
        </w:rPr>
        <w:t>პოზიტიური</w:t>
      </w:r>
      <w:r w:rsidRPr="000A4D4A">
        <w:rPr>
          <w:rFonts w:ascii="Sylfaen" w:hAnsi="Sylfaen"/>
          <w:sz w:val="20"/>
        </w:rPr>
        <w:t xml:space="preserve"> </w:t>
      </w:r>
      <w:r w:rsidRPr="000A4D4A">
        <w:rPr>
          <w:rFonts w:ascii="Sylfaen" w:hAnsi="Sylfaen" w:cs="Sylfaen"/>
          <w:sz w:val="20"/>
        </w:rPr>
        <w:t>სცენარების</w:t>
      </w:r>
      <w:r w:rsidRPr="000A4D4A">
        <w:rPr>
          <w:rFonts w:ascii="Sylfaen" w:hAnsi="Sylfaen"/>
          <w:sz w:val="20"/>
        </w:rPr>
        <w:t xml:space="preserve"> </w:t>
      </w:r>
      <w:r w:rsidRPr="000A4D4A">
        <w:rPr>
          <w:rFonts w:ascii="Sylfaen" w:hAnsi="Sylfaen" w:cs="Sylfaen"/>
          <w:sz w:val="20"/>
        </w:rPr>
        <w:t>შემუშავება</w:t>
      </w:r>
      <w:r w:rsidRPr="000A4D4A">
        <w:rPr>
          <w:rFonts w:ascii="Sylfaen" w:hAnsi="Sylfaen"/>
          <w:sz w:val="20"/>
        </w:rPr>
        <w:t>.</w:t>
      </w:r>
      <w:r w:rsidR="00D920D4">
        <w:rPr>
          <w:rFonts w:ascii="Sylfaen" w:hAnsi="Sylfaen"/>
          <w:sz w:val="20"/>
        </w:rPr>
        <w:t xml:space="preserve"> </w:t>
      </w:r>
    </w:p>
    <w:p w:rsidR="00D920D4" w:rsidRPr="00620B86" w:rsidRDefault="00D920D4" w:rsidP="000A4D4A">
      <w:pPr>
        <w:ind w:firstLine="540"/>
        <w:jc w:val="both"/>
        <w:rPr>
          <w:rFonts w:ascii="Sylfaen" w:hAnsi="Sylfaen"/>
          <w:b/>
          <w:sz w:val="20"/>
          <w:lang w:val="ka-GE"/>
        </w:rPr>
      </w:pPr>
    </w:p>
    <w:p w:rsidR="000A4D4A" w:rsidRPr="000A4D4A" w:rsidRDefault="00562830" w:rsidP="000A4D4A">
      <w:pPr>
        <w:pStyle w:val="Heading2"/>
        <w:rPr>
          <w:rFonts w:ascii="Sylfaen" w:hAnsi="Sylfaen"/>
        </w:rPr>
      </w:pPr>
      <w:r>
        <w:rPr>
          <w:rFonts w:ascii="Sylfaen" w:hAnsi="Sylfaen"/>
        </w:rPr>
        <w:t>4</w:t>
      </w:r>
      <w:r w:rsidR="000A4D4A" w:rsidRPr="000A4D4A">
        <w:rPr>
          <w:rFonts w:ascii="Sylfaen" w:hAnsi="Sylfaen"/>
        </w:rPr>
        <w:t>.1 პანდემიის გამწვავება</w:t>
      </w:r>
    </w:p>
    <w:p w:rsidR="000A4D4A" w:rsidRPr="000A4D4A" w:rsidRDefault="000A4D4A" w:rsidP="000A4D4A">
      <w:pPr>
        <w:spacing w:line="276" w:lineRule="auto"/>
        <w:ind w:firstLine="540"/>
        <w:jc w:val="both"/>
        <w:rPr>
          <w:rFonts w:ascii="Sylfaen" w:hAnsi="Sylfaen" w:cs="Segoe UI"/>
          <w:sz w:val="20"/>
          <w:szCs w:val="20"/>
          <w:lang w:val="ka-GE"/>
        </w:rPr>
      </w:pPr>
      <w:r w:rsidRPr="000A4D4A">
        <w:rPr>
          <w:rFonts w:ascii="Sylfaen" w:hAnsi="Sylfaen" w:cs="Segoe UI"/>
          <w:sz w:val="20"/>
          <w:szCs w:val="20"/>
          <w:lang w:val="ka-GE"/>
        </w:rPr>
        <w:t>პანდემიასთან დაკავშირებით საბაზისო მოლოდინი შეადგენს ვაქცინის გამოგონებას 2021 წლის პირველ კვარტალში, ხოლო ვაქცინაზე ხელმისაწვდომობის საკითხის დასრულებას საქართველოს მოსახლეობისათვის, ისევე როგორც მთელი მსოფლიოსათვის, 2021 წლის მესამე ან მეოთხე კვარტალში.</w:t>
      </w:r>
    </w:p>
    <w:p w:rsidR="000A4D4A" w:rsidRDefault="000A4D4A" w:rsidP="006A04A6">
      <w:pPr>
        <w:spacing w:line="276" w:lineRule="auto"/>
        <w:ind w:firstLine="540"/>
        <w:jc w:val="both"/>
        <w:rPr>
          <w:rFonts w:ascii="Sylfaen" w:hAnsi="Sylfaen" w:cs="Segoe UI"/>
          <w:sz w:val="20"/>
          <w:szCs w:val="20"/>
        </w:rPr>
      </w:pPr>
      <w:r w:rsidRPr="000A4D4A">
        <w:rPr>
          <w:rFonts w:ascii="Sylfaen" w:hAnsi="Sylfaen" w:cs="Segoe UI"/>
          <w:sz w:val="20"/>
          <w:szCs w:val="20"/>
          <w:lang w:val="ka-GE"/>
        </w:rPr>
        <w:t>მიუხედავად ამისა, არსებობს რისკი, რომ მდგომარეობა შეიძლება უფრო ნეგატიურად განვითარდეს. ნეგატიური სცენარი ითვალისწინებს  ვაქცინის ვერ მიღებას 2022 წლის მეორე ნახევრამდე. შესაბამისად, შემდეგი ორი წლის განმავლობაში იქნება დამატებითი ტალღები და ეკონომიკური შეფერხებები.</w:t>
      </w:r>
      <w:r>
        <w:rPr>
          <w:rFonts w:ascii="Sylfaen" w:hAnsi="Sylfaen" w:cs="Segoe UI"/>
          <w:sz w:val="20"/>
          <w:szCs w:val="20"/>
        </w:rPr>
        <w:t xml:space="preserve"> </w:t>
      </w:r>
    </w:p>
    <w:p w:rsidR="00D920D4" w:rsidRDefault="00D920D4" w:rsidP="006A04A6">
      <w:pPr>
        <w:spacing w:line="276" w:lineRule="auto"/>
        <w:ind w:firstLine="540"/>
        <w:jc w:val="both"/>
        <w:rPr>
          <w:rFonts w:ascii="Sylfaen" w:hAnsi="Sylfaen" w:cs="Segoe UI"/>
          <w:sz w:val="20"/>
          <w:szCs w:val="20"/>
        </w:rPr>
      </w:pPr>
    </w:p>
    <w:p w:rsidR="000A4D4A" w:rsidRPr="005D4934" w:rsidRDefault="00562830" w:rsidP="000A4D4A">
      <w:pPr>
        <w:pStyle w:val="Heading2"/>
      </w:pPr>
      <w:r>
        <w:t>4</w:t>
      </w:r>
      <w:r w:rsidR="000A4D4A" w:rsidRPr="005D4934">
        <w:t>.2.</w:t>
      </w:r>
      <w:r w:rsidR="000A4D4A">
        <w:t xml:space="preserve"> </w:t>
      </w:r>
      <w:r w:rsidR="000A4D4A" w:rsidRPr="005D4934">
        <w:t>ტურიზმის გლობალური სენტიმენტების გაუარესება</w:t>
      </w:r>
    </w:p>
    <w:p w:rsidR="000A4D4A" w:rsidRPr="00B207A3" w:rsidRDefault="000A4D4A" w:rsidP="000A4D4A">
      <w:pPr>
        <w:spacing w:line="276" w:lineRule="auto"/>
        <w:jc w:val="both"/>
        <w:rPr>
          <w:rFonts w:ascii="Segoe UI" w:hAnsi="Segoe UI" w:cs="Segoe UI"/>
          <w:sz w:val="20"/>
          <w:szCs w:val="20"/>
          <w:lang w:val="ka-GE"/>
        </w:rPr>
      </w:pPr>
      <w:r w:rsidRPr="00B207A3">
        <w:rPr>
          <w:rFonts w:ascii="Segoe UI" w:hAnsi="Segoe UI" w:cs="Segoe UI"/>
          <w:sz w:val="20"/>
          <w:szCs w:val="20"/>
          <w:lang w:val="ka-GE"/>
        </w:rPr>
        <w:t xml:space="preserve">    ტურიზმის სექტორი </w:t>
      </w:r>
      <w:r w:rsidR="00C300FF">
        <w:rPr>
          <w:rFonts w:ascii="Segoe UI" w:hAnsi="Segoe UI" w:cs="Segoe UI"/>
          <w:sz w:val="20"/>
          <w:szCs w:val="20"/>
        </w:rPr>
        <w:t>(</w:t>
      </w:r>
      <w:r w:rsidR="00C300FF">
        <w:rPr>
          <w:rFonts w:ascii="Segoe UI" w:hAnsi="Segoe UI" w:cs="Segoe UI"/>
          <w:sz w:val="20"/>
          <w:szCs w:val="20"/>
          <w:lang w:val="ka-GE"/>
        </w:rPr>
        <w:t>სხვა სექტორებში გადადინების ეფფექტის ჩათვლით</w:t>
      </w:r>
      <w:r w:rsidR="00C300FF">
        <w:rPr>
          <w:rFonts w:ascii="Segoe UI" w:hAnsi="Segoe UI" w:cs="Segoe UI"/>
          <w:sz w:val="20"/>
          <w:szCs w:val="20"/>
        </w:rPr>
        <w:t xml:space="preserve">) </w:t>
      </w:r>
      <w:r w:rsidRPr="00B207A3">
        <w:rPr>
          <w:rFonts w:ascii="Segoe UI" w:hAnsi="Segoe UI" w:cs="Segoe UI"/>
          <w:sz w:val="20"/>
          <w:szCs w:val="20"/>
          <w:lang w:val="ka-GE"/>
        </w:rPr>
        <w:t>ქართულ ეკონომიკაში დაახლოებით 10-12 პროცენტს შეადგენს. ბოლო 10 წლის განმავლობაში მსოფლიო ტურისტული სექტორის სენტიმენტი მნიშვნელოვნად გაიზარდა, რაც იყო საქართველოში ტურიზმის ზრდის ერთ-ერთი განმაპირობებელი ფაქტორი. გლობალური ტურისტული სექტორის არასრული აღდგენა საშუალოვადიან პერიოდში წარმოადგენს ქართული ეკონომიკის მნიშვნელოვან რისკ</w:t>
      </w:r>
      <w:r w:rsidR="00C300FF">
        <w:rPr>
          <w:rFonts w:ascii="Segoe UI" w:hAnsi="Segoe UI" w:cs="Segoe UI"/>
          <w:sz w:val="20"/>
          <w:szCs w:val="20"/>
          <w:lang w:val="ka-GE"/>
        </w:rPr>
        <w:t>-</w:t>
      </w:r>
      <w:r w:rsidRPr="00B207A3">
        <w:rPr>
          <w:rFonts w:ascii="Segoe UI" w:hAnsi="Segoe UI" w:cs="Segoe UI"/>
          <w:sz w:val="20"/>
          <w:szCs w:val="20"/>
          <w:lang w:val="ka-GE"/>
        </w:rPr>
        <w:t>ფაქტორს. ტურისტული სენტიმენტის არასრული აღდგენის რისკი დამოკიდებულია შემდეგ ფაქტორებზე:</w:t>
      </w:r>
    </w:p>
    <w:p w:rsidR="000A4D4A" w:rsidRPr="0030481B" w:rsidRDefault="000A4D4A" w:rsidP="000A4D4A">
      <w:pPr>
        <w:pStyle w:val="ListParagraph"/>
        <w:numPr>
          <w:ilvl w:val="0"/>
          <w:numId w:val="17"/>
        </w:numPr>
        <w:spacing w:line="276" w:lineRule="auto"/>
        <w:jc w:val="both"/>
        <w:rPr>
          <w:rFonts w:ascii="Segoe UI" w:hAnsi="Segoe UI" w:cs="Segoe UI"/>
          <w:sz w:val="20"/>
          <w:szCs w:val="20"/>
        </w:rPr>
      </w:pPr>
      <w:r w:rsidRPr="0030481B">
        <w:rPr>
          <w:rFonts w:ascii="Segoe UI" w:hAnsi="Segoe UI" w:cs="Segoe UI"/>
          <w:sz w:val="20"/>
          <w:szCs w:val="20"/>
        </w:rPr>
        <w:t xml:space="preserve">ბუნებრივია, </w:t>
      </w:r>
      <w:r w:rsidRPr="0030481B">
        <w:rPr>
          <w:rFonts w:ascii="Segoe UI" w:hAnsi="Segoe UI" w:cs="Segoe UI"/>
          <w:sz w:val="20"/>
          <w:szCs w:val="20"/>
          <w:lang w:val="ka-GE"/>
        </w:rPr>
        <w:t xml:space="preserve">რომ </w:t>
      </w:r>
      <w:r w:rsidRPr="0030481B">
        <w:rPr>
          <w:rFonts w:ascii="Segoe UI" w:hAnsi="Segoe UI" w:cs="Segoe UI"/>
          <w:sz w:val="20"/>
          <w:szCs w:val="20"/>
        </w:rPr>
        <w:t>გლობალურ ეკონომიკურ კლებას</w:t>
      </w:r>
      <w:r w:rsidRPr="0030481B">
        <w:rPr>
          <w:rFonts w:ascii="Segoe UI" w:hAnsi="Segoe UI" w:cs="Segoe UI"/>
          <w:sz w:val="20"/>
          <w:szCs w:val="20"/>
          <w:lang w:val="ka-GE"/>
        </w:rPr>
        <w:t xml:space="preserve"> </w:t>
      </w:r>
      <w:r w:rsidRPr="0030481B">
        <w:rPr>
          <w:rFonts w:ascii="Segoe UI" w:hAnsi="Segoe UI" w:cs="Segoe UI"/>
          <w:sz w:val="20"/>
          <w:szCs w:val="20"/>
        </w:rPr>
        <w:t>საშუალოვადიან პერიოდში ერთ-ერთი ყველაზე ნეგატიური გავლენა ექნება ტურიზმზე, რადგან ტურისტული მოგზაურობა ფუფუნების საგანია;</w:t>
      </w:r>
    </w:p>
    <w:p w:rsidR="000A4D4A" w:rsidRPr="0030481B" w:rsidRDefault="000A4D4A" w:rsidP="000A4D4A">
      <w:pPr>
        <w:pStyle w:val="ListParagraph"/>
        <w:numPr>
          <w:ilvl w:val="0"/>
          <w:numId w:val="17"/>
        </w:numPr>
        <w:spacing w:line="276" w:lineRule="auto"/>
        <w:jc w:val="both"/>
        <w:rPr>
          <w:rFonts w:ascii="Segoe UI" w:hAnsi="Segoe UI" w:cs="Segoe UI"/>
          <w:sz w:val="20"/>
          <w:szCs w:val="20"/>
        </w:rPr>
      </w:pPr>
      <w:r w:rsidRPr="0030481B">
        <w:rPr>
          <w:rFonts w:ascii="Segoe UI" w:hAnsi="Segoe UI" w:cs="Segoe UI"/>
          <w:sz w:val="20"/>
          <w:szCs w:val="20"/>
        </w:rPr>
        <w:t>ტურიზმი გარკვეულწილად გლობალიზაციის თანმდევი პროცესია, და შესაძლო დეგლობალიზაციური ტენდენციები აისახება გლობალურ ტურისტულ სენტიმენტებზე;</w:t>
      </w:r>
    </w:p>
    <w:p w:rsidR="000A4D4A" w:rsidRPr="0030481B" w:rsidRDefault="000A4D4A" w:rsidP="000A4D4A">
      <w:pPr>
        <w:pStyle w:val="ListParagraph"/>
        <w:numPr>
          <w:ilvl w:val="0"/>
          <w:numId w:val="17"/>
        </w:numPr>
        <w:spacing w:line="276" w:lineRule="auto"/>
        <w:jc w:val="both"/>
        <w:rPr>
          <w:rFonts w:ascii="Segoe UI" w:hAnsi="Segoe UI" w:cs="Segoe UI"/>
          <w:sz w:val="20"/>
          <w:szCs w:val="20"/>
        </w:rPr>
      </w:pPr>
      <w:r w:rsidRPr="0030481B">
        <w:rPr>
          <w:rFonts w:ascii="Segoe UI" w:hAnsi="Segoe UI" w:cs="Segoe UI"/>
          <w:sz w:val="20"/>
          <w:szCs w:val="20"/>
        </w:rPr>
        <w:t>არსებობს მოსაზრებები, რომ ტურისტული ტენდენციები გადაიხრება ტრადიციული</w:t>
      </w:r>
      <w:r w:rsidRPr="0030481B">
        <w:rPr>
          <w:rFonts w:ascii="Segoe UI" w:hAnsi="Segoe UI" w:cs="Segoe UI"/>
          <w:sz w:val="20"/>
          <w:szCs w:val="20"/>
          <w:lang w:val="ka-GE"/>
        </w:rPr>
        <w:t xml:space="preserve"> </w:t>
      </w:r>
      <w:r w:rsidRPr="0030481B">
        <w:rPr>
          <w:rFonts w:ascii="Segoe UI" w:hAnsi="Segoe UI" w:cs="Segoe UI"/>
          <w:sz w:val="20"/>
          <w:szCs w:val="20"/>
        </w:rPr>
        <w:t>ტურისტული</w:t>
      </w:r>
      <w:r w:rsidRPr="0030481B">
        <w:rPr>
          <w:rFonts w:ascii="Segoe UI" w:hAnsi="Segoe UI" w:cs="Segoe UI"/>
          <w:sz w:val="20"/>
          <w:szCs w:val="20"/>
          <w:lang w:val="ka-GE"/>
        </w:rPr>
        <w:t xml:space="preserve"> </w:t>
      </w:r>
      <w:r w:rsidRPr="0030481B">
        <w:rPr>
          <w:rFonts w:ascii="Segoe UI" w:hAnsi="Segoe UI" w:cs="Segoe UI"/>
          <w:sz w:val="20"/>
          <w:szCs w:val="20"/>
        </w:rPr>
        <w:t>დანიშნულებებისაკენ. ეს კი საქართველოსთვის ნიშნავს ტრადიციულ ტურისტულ ბაზრებზე დამოკიდე</w:t>
      </w:r>
      <w:r>
        <w:rPr>
          <w:rFonts w:ascii="Segoe UI" w:hAnsi="Segoe UI" w:cs="Segoe UI"/>
          <w:sz w:val="20"/>
          <w:szCs w:val="20"/>
          <w:lang w:val="ka-GE"/>
        </w:rPr>
        <w:t>-</w:t>
      </w:r>
      <w:r w:rsidRPr="0030481B">
        <w:rPr>
          <w:rFonts w:ascii="Segoe UI" w:hAnsi="Segoe UI" w:cs="Segoe UI"/>
          <w:sz w:val="20"/>
          <w:szCs w:val="20"/>
        </w:rPr>
        <w:t>ბულების ზრდას და ევროპული და სხვა არაძირითადი ტურისტული ქვეყნებიდან ზრდის შეზღუდვას.</w:t>
      </w:r>
    </w:p>
    <w:p w:rsidR="00D920D4" w:rsidRPr="00D920D4" w:rsidRDefault="00D920D4" w:rsidP="006A04A6">
      <w:pPr>
        <w:spacing w:line="276" w:lineRule="auto"/>
        <w:ind w:firstLine="540"/>
        <w:jc w:val="both"/>
        <w:rPr>
          <w:rFonts w:ascii="Segoe UI" w:hAnsi="Segoe UI" w:cs="Segoe UI"/>
          <w:sz w:val="20"/>
          <w:szCs w:val="20"/>
        </w:rPr>
      </w:pPr>
    </w:p>
    <w:p w:rsidR="00BD7F05" w:rsidRDefault="00562830" w:rsidP="000A4D4A">
      <w:pPr>
        <w:pStyle w:val="Heading2"/>
      </w:pPr>
      <w:r>
        <w:t>4</w:t>
      </w:r>
      <w:r w:rsidR="000A4D4A" w:rsidRPr="00B83CE9">
        <w:t>.3.</w:t>
      </w:r>
      <w:r w:rsidR="000A4D4A">
        <w:t xml:space="preserve"> </w:t>
      </w:r>
      <w:r w:rsidR="000A4D4A" w:rsidRPr="00B83CE9">
        <w:t xml:space="preserve">გლობალური </w:t>
      </w:r>
      <w:r w:rsidR="00477AF8">
        <w:t>სავაჭრო ბრუნვის შემცირება</w:t>
      </w:r>
    </w:p>
    <w:p w:rsidR="00477AF8" w:rsidRPr="00477AF8" w:rsidRDefault="00283359" w:rsidP="00477AF8">
      <w:pPr>
        <w:spacing w:line="276" w:lineRule="auto"/>
        <w:ind w:firstLine="540"/>
        <w:jc w:val="both"/>
        <w:rPr>
          <w:rFonts w:ascii="Segoe UI" w:hAnsi="Segoe UI" w:cs="Segoe UI"/>
          <w:b/>
          <w:sz w:val="20"/>
          <w:szCs w:val="20"/>
          <w:lang w:val="ka-GE"/>
        </w:rPr>
      </w:pPr>
      <w:r>
        <w:rPr>
          <w:rFonts w:ascii="Segoe UI" w:hAnsi="Segoe UI" w:cs="Segoe UI"/>
          <w:sz w:val="20"/>
          <w:szCs w:val="20"/>
          <w:lang w:val="ka-GE"/>
        </w:rPr>
        <w:t xml:space="preserve">მიმდინარე კრიზისის ფონზე მნიშვნელოვანია </w:t>
      </w:r>
      <w:r w:rsidR="00477AF8">
        <w:rPr>
          <w:rFonts w:ascii="Segoe UI" w:hAnsi="Segoe UI" w:cs="Segoe UI"/>
          <w:sz w:val="20"/>
          <w:szCs w:val="20"/>
          <w:lang w:val="ka-GE"/>
        </w:rPr>
        <w:t>გლიბალური გეოპლიტიკური რისკების გაანალიზება. გლობალური ეკონომიკის აღდგენის პროცესები მნიშვნელვონად შეფერხდება პროტექციონისტული სავაჭრო პოლიტიკის პირობებში. შესაბამისად, საშუალოვადიან პერიოდში სავაჭრო პირობების შესაძლო გაუარესება გადაავადებს ეკონომიკის აღდგენის პერსპექტივებს.</w:t>
      </w:r>
    </w:p>
    <w:p w:rsidR="000A4D4A" w:rsidRPr="005D4934" w:rsidRDefault="00562830" w:rsidP="000A4D4A">
      <w:pPr>
        <w:pStyle w:val="Heading2"/>
      </w:pPr>
      <w:r>
        <w:t>4</w:t>
      </w:r>
      <w:r w:rsidR="000A4D4A" w:rsidRPr="00B83CE9">
        <w:t>.4.</w:t>
      </w:r>
      <w:r w:rsidR="000A4D4A">
        <w:t xml:space="preserve"> </w:t>
      </w:r>
      <w:r w:rsidR="000A4D4A" w:rsidRPr="00B83CE9">
        <w:t>რეგიონული რისკები</w:t>
      </w:r>
    </w:p>
    <w:p w:rsidR="000A4D4A" w:rsidRPr="00E72A49" w:rsidRDefault="000A4D4A" w:rsidP="006A04A6">
      <w:pPr>
        <w:spacing w:line="276" w:lineRule="auto"/>
        <w:ind w:firstLine="540"/>
        <w:jc w:val="both"/>
        <w:rPr>
          <w:rFonts w:ascii="Segoe UI" w:hAnsi="Segoe UI" w:cs="Segoe UI"/>
          <w:sz w:val="20"/>
          <w:szCs w:val="20"/>
          <w:lang w:val="ka-GE"/>
        </w:rPr>
      </w:pPr>
      <w:r w:rsidRPr="00E72A49">
        <w:rPr>
          <w:rFonts w:ascii="Segoe UI" w:hAnsi="Segoe UI" w:cs="Segoe UI"/>
          <w:sz w:val="20"/>
          <w:szCs w:val="20"/>
          <w:lang w:val="ka-GE"/>
        </w:rPr>
        <w:t>ბოლო ათწლეულის განმავლობაში ჩვენი რეგიონი არ არის მოკლებული შოკებს. პანდემიამდელ პერიოდში ეკონომიკური და პოლიტიკური ხასიათის რისკები ეტაპობრივად მძიმდებოდა რეგიონში და მათი მატერიალიზაცია პანდემიის გარეშეც იყო მოსალოდნელი. თუმცა, პანდემიის შემდეგ მათი რეალიზაციის ალბათობა იზრდება.</w:t>
      </w:r>
    </w:p>
    <w:p w:rsidR="000A4D4A" w:rsidRPr="00B83CE9" w:rsidRDefault="000A4D4A" w:rsidP="00945B6B">
      <w:pPr>
        <w:spacing w:line="276" w:lineRule="auto"/>
        <w:ind w:firstLine="540"/>
        <w:jc w:val="both"/>
        <w:rPr>
          <w:rFonts w:ascii="Segoe UI" w:hAnsi="Segoe UI" w:cs="Segoe UI"/>
          <w:sz w:val="20"/>
          <w:szCs w:val="20"/>
        </w:rPr>
      </w:pPr>
      <w:r w:rsidRPr="00E72A49">
        <w:rPr>
          <w:rFonts w:ascii="Segoe UI" w:hAnsi="Segoe UI" w:cs="Segoe UI"/>
          <w:sz w:val="20"/>
          <w:szCs w:val="20"/>
          <w:lang w:val="ka-GE"/>
        </w:rPr>
        <w:t>ჩვენი რეგიონიდან მომდინარე ეკონომიკური რისკები</w:t>
      </w:r>
      <w:r w:rsidR="00945B6B">
        <w:rPr>
          <w:rFonts w:ascii="Segoe UI" w:hAnsi="Segoe UI" w:cs="Segoe UI"/>
          <w:sz w:val="20"/>
          <w:szCs w:val="20"/>
          <w:lang w:val="ka-GE"/>
        </w:rPr>
        <w:t xml:space="preserve"> ძირითადად შემდეგი გარემოწბებით არის განპირობებული</w:t>
      </w:r>
      <w:r w:rsidRPr="00B83CE9">
        <w:rPr>
          <w:rFonts w:ascii="Segoe UI" w:hAnsi="Segoe UI" w:cs="Segoe UI"/>
          <w:sz w:val="20"/>
          <w:szCs w:val="20"/>
        </w:rPr>
        <w:t>:</w:t>
      </w:r>
    </w:p>
    <w:p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მთელი რიგი ქვეყნების მაღალი დამოკიდებულობა ნავთობსა და სხვა ნედლეულ პროდუქტებზე;</w:t>
      </w:r>
    </w:p>
    <w:p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ეკონომიკების დივერსიფიკაციის დაბალი დონე;</w:t>
      </w:r>
    </w:p>
    <w:p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შიდა პოლიტიკური პრობლემები და არამდგრადობა;</w:t>
      </w:r>
    </w:p>
    <w:p w:rsidR="000A4D4A" w:rsidRPr="00945B6B" w:rsidRDefault="000A4D4A" w:rsidP="00954905">
      <w:pPr>
        <w:pStyle w:val="ListParagraph"/>
        <w:numPr>
          <w:ilvl w:val="0"/>
          <w:numId w:val="18"/>
        </w:numPr>
        <w:spacing w:line="276" w:lineRule="auto"/>
        <w:jc w:val="both"/>
      </w:pPr>
      <w:r w:rsidRPr="0030481B">
        <w:rPr>
          <w:rFonts w:ascii="Segoe UI" w:hAnsi="Segoe UI" w:cs="Segoe UI"/>
          <w:sz w:val="20"/>
          <w:szCs w:val="20"/>
        </w:rPr>
        <w:t>სანქციების დაწესების საშიშროება;</w:t>
      </w:r>
    </w:p>
    <w:p w:rsidR="00945B6B" w:rsidRPr="0030481B" w:rsidRDefault="00945B6B" w:rsidP="00954905">
      <w:pPr>
        <w:pStyle w:val="ListParagraph"/>
        <w:numPr>
          <w:ilvl w:val="0"/>
          <w:numId w:val="18"/>
        </w:numPr>
        <w:spacing w:line="276" w:lineRule="auto"/>
        <w:jc w:val="both"/>
      </w:pPr>
      <w:r>
        <w:rPr>
          <w:rFonts w:ascii="Segoe UI" w:hAnsi="Segoe UI" w:cs="Segoe UI"/>
          <w:sz w:val="20"/>
          <w:szCs w:val="20"/>
          <w:lang w:val="ka-GE"/>
        </w:rPr>
        <w:t>გაყინული კონფლიქტები.</w:t>
      </w:r>
    </w:p>
    <w:p w:rsidR="000A4D4A" w:rsidRPr="00E72A49" w:rsidRDefault="000A4D4A" w:rsidP="006A04A6">
      <w:pPr>
        <w:ind w:firstLine="540"/>
        <w:jc w:val="both"/>
        <w:rPr>
          <w:rFonts w:ascii="Segoe UI" w:hAnsi="Segoe UI" w:cs="Segoe UI"/>
          <w:sz w:val="20"/>
          <w:szCs w:val="20"/>
          <w:lang w:val="ka-GE"/>
        </w:rPr>
      </w:pPr>
      <w:r w:rsidRPr="00E72A49">
        <w:rPr>
          <w:rFonts w:ascii="Segoe UI" w:hAnsi="Segoe UI" w:cs="Segoe UI"/>
          <w:sz w:val="20"/>
          <w:szCs w:val="20"/>
          <w:lang w:val="ka-GE"/>
        </w:rPr>
        <w:t>რეგიონიდან მომავალი რისკები კვლავაც იქნება ჩვენი ეკონომიკის მთავარი პრობლემა და ეკონომიკის მოწყვლადობის კონტროლი ძალიან მნიშვნელოვანია ეკონომიკური სირთულეების შესამცირებლად.</w:t>
      </w:r>
    </w:p>
    <w:p w:rsidR="00194344" w:rsidRPr="00B207A3" w:rsidRDefault="00194344" w:rsidP="00194344">
      <w:pPr>
        <w:spacing w:line="276" w:lineRule="auto"/>
        <w:jc w:val="both"/>
        <w:rPr>
          <w:rFonts w:ascii="Segoe UI" w:hAnsi="Segoe UI" w:cs="Segoe UI"/>
          <w:sz w:val="20"/>
          <w:szCs w:val="20"/>
          <w:lang w:val="ka-GE"/>
        </w:rPr>
      </w:pPr>
    </w:p>
    <w:p w:rsidR="00194344" w:rsidRPr="003A6407" w:rsidRDefault="00562830" w:rsidP="00194344">
      <w:pPr>
        <w:pStyle w:val="Heading2"/>
      </w:pPr>
      <w:r>
        <w:t>4</w:t>
      </w:r>
      <w:r w:rsidR="00194344" w:rsidRPr="003A6407">
        <w:t>.</w:t>
      </w:r>
      <w:r>
        <w:t>5</w:t>
      </w:r>
      <w:r w:rsidR="00194344" w:rsidRPr="003A6407">
        <w:t>.</w:t>
      </w:r>
      <w:r w:rsidR="00194344">
        <w:t xml:space="preserve"> </w:t>
      </w:r>
      <w:r w:rsidR="00194344" w:rsidRPr="003A6407">
        <w:t>გაზრდილი გლობალური ვალი</w:t>
      </w:r>
    </w:p>
    <w:p w:rsidR="00194344" w:rsidRPr="00342699" w:rsidRDefault="00194344" w:rsidP="00194344">
      <w:pPr>
        <w:spacing w:line="276" w:lineRule="auto"/>
        <w:jc w:val="both"/>
        <w:rPr>
          <w:rFonts w:ascii="Segoe UI" w:hAnsi="Segoe UI" w:cs="Segoe UI"/>
          <w:sz w:val="20"/>
          <w:szCs w:val="20"/>
        </w:rPr>
      </w:pPr>
      <w:r>
        <w:rPr>
          <w:rFonts w:ascii="Segoe UI" w:hAnsi="Segoe UI" w:cs="Segoe UI"/>
          <w:sz w:val="20"/>
          <w:szCs w:val="20"/>
          <w:lang w:val="ka-GE"/>
        </w:rPr>
        <w:t xml:space="preserve">     </w:t>
      </w:r>
      <w:r w:rsidRPr="00342699">
        <w:rPr>
          <w:rFonts w:ascii="Segoe UI" w:hAnsi="Segoe UI" w:cs="Segoe UI"/>
          <w:sz w:val="20"/>
          <w:szCs w:val="20"/>
        </w:rPr>
        <w:t xml:space="preserve">ეკონომიკურ კრიზისს, რომელიც ახალმა პანდემიამ გამოიწვია, მნიშვნელოვანი გავლენა მოახდინა დანაზოგებზე. მსოფლიოს პრაქტიკულად ყველა ქვეყანას მოუწია ვალის ზრდა და ბუფერების შემცირება. </w:t>
      </w:r>
    </w:p>
    <w:p w:rsidR="00194344" w:rsidRPr="00342699" w:rsidRDefault="00194344" w:rsidP="00C05DF7">
      <w:pPr>
        <w:spacing w:line="276" w:lineRule="auto"/>
        <w:ind w:firstLine="540"/>
        <w:jc w:val="both"/>
        <w:rPr>
          <w:rFonts w:ascii="Segoe UI" w:hAnsi="Segoe UI" w:cs="Segoe UI"/>
          <w:sz w:val="20"/>
          <w:szCs w:val="20"/>
        </w:rPr>
      </w:pPr>
      <w:r w:rsidRPr="00342699">
        <w:rPr>
          <w:rFonts w:ascii="Segoe UI" w:hAnsi="Segoe UI" w:cs="Segoe UI"/>
          <w:sz w:val="20"/>
          <w:szCs w:val="20"/>
        </w:rPr>
        <w:t>კვლევების მიხედვით, განვითარებადი საბაზრო ეკონომიკების ერთ მესამედს შეზღუდული, ან საერთოდ არ აქვს ფისკალური სივრცე განგრძობადი კრიზისის გასამკლავებლად, რაც მნიშვნელოვანდ ამცირებს მომდევნო წლებში გლობალური მოთხოვნის აღდგენის პერსპექტივებს.</w:t>
      </w:r>
    </w:p>
    <w:p w:rsidR="00194344" w:rsidRDefault="00194344" w:rsidP="00C05DF7">
      <w:pPr>
        <w:spacing w:line="276" w:lineRule="auto"/>
        <w:ind w:firstLine="540"/>
        <w:jc w:val="both"/>
        <w:rPr>
          <w:rFonts w:ascii="Segoe UI" w:hAnsi="Segoe UI" w:cs="Segoe UI"/>
          <w:sz w:val="20"/>
          <w:szCs w:val="20"/>
        </w:rPr>
      </w:pPr>
      <w:r w:rsidRPr="00342699">
        <w:rPr>
          <w:rFonts w:ascii="Segoe UI" w:hAnsi="Segoe UI" w:cs="Segoe UI"/>
          <w:sz w:val="20"/>
          <w:szCs w:val="20"/>
        </w:rPr>
        <w:t>შესაბამისად, მომდევნო წლების განმავლობაში მოსალოდნელია, რომ მთელმა მსოფლიომ ფისკალური კონსოლიდაციის გზას მიმართოს ბუფერებისა და ფისკალური სივრცის აღდგენისათვის. კონსოლიდაცია კი დამატებითი მუხრუჭს წარმოქმნის ეკონომიკური ზრდისათვის, რაც საკმაოდ დიდი შემაფერხებელი ფაქტორია</w:t>
      </w:r>
      <w:r w:rsidRPr="00342699">
        <w:rPr>
          <w:sz w:val="20"/>
          <w:szCs w:val="20"/>
        </w:rPr>
        <w:t xml:space="preserve"> </w:t>
      </w:r>
      <w:r w:rsidRPr="00342699">
        <w:rPr>
          <w:rFonts w:ascii="Segoe UI" w:hAnsi="Segoe UI" w:cs="Segoe UI"/>
          <w:sz w:val="20"/>
          <w:szCs w:val="20"/>
        </w:rPr>
        <w:t>მსოფლიო ეკონომიკის პანდემიამდელი მდგომარეობის დროის მოკლე პერიოდში აღდგენისათვის.</w:t>
      </w:r>
    </w:p>
    <w:p w:rsidR="00945B6B" w:rsidRPr="00342699" w:rsidRDefault="00945B6B" w:rsidP="00C05DF7">
      <w:pPr>
        <w:spacing w:line="276" w:lineRule="auto"/>
        <w:ind w:firstLine="540"/>
        <w:jc w:val="both"/>
        <w:rPr>
          <w:rFonts w:ascii="Segoe UI" w:hAnsi="Segoe UI" w:cs="Segoe UI"/>
          <w:sz w:val="20"/>
          <w:szCs w:val="20"/>
        </w:rPr>
      </w:pPr>
    </w:p>
    <w:p w:rsidR="00194344" w:rsidRPr="00D1769C" w:rsidRDefault="00562830" w:rsidP="00194344">
      <w:pPr>
        <w:pStyle w:val="Heading2"/>
      </w:pPr>
      <w:r>
        <w:t>4.6</w:t>
      </w:r>
      <w:r w:rsidR="00194344">
        <w:t xml:space="preserve"> </w:t>
      </w:r>
      <w:r w:rsidR="00194344" w:rsidRPr="00D1769C">
        <w:t>გლობალური მომხმარებელთა ქცევა</w:t>
      </w:r>
    </w:p>
    <w:p w:rsidR="000A4D4A" w:rsidRDefault="00194344" w:rsidP="00385E6A">
      <w:pPr>
        <w:tabs>
          <w:tab w:val="left" w:pos="900"/>
        </w:tabs>
        <w:ind w:firstLine="540"/>
        <w:jc w:val="both"/>
        <w:rPr>
          <w:rFonts w:ascii="Segoe UI" w:hAnsi="Segoe UI" w:cs="Segoe UI"/>
          <w:sz w:val="20"/>
          <w:szCs w:val="20"/>
        </w:rPr>
      </w:pPr>
      <w:r w:rsidRPr="00D1769C">
        <w:rPr>
          <w:rFonts w:ascii="Segoe UI" w:hAnsi="Segoe UI" w:cs="Segoe UI"/>
          <w:sz w:val="20"/>
          <w:szCs w:val="20"/>
        </w:rPr>
        <w:t>პანდემიის შედეგად შემცირებულმა ეკონომიკურმა აქტივობებმა მნიშვნელოვანი გავლენა მოახდინა შინამეურნეობების შემოსავლებსა და დანაზოგებზე, შესაბამისად პოსტპანდემიურ საშუალოვადიან პერიოდში მოსალოდნელია, რომ</w:t>
      </w:r>
      <w:r>
        <w:rPr>
          <w:rFonts w:ascii="Segoe UI" w:hAnsi="Segoe UI" w:cs="Segoe UI"/>
          <w:sz w:val="20"/>
          <w:szCs w:val="20"/>
        </w:rPr>
        <w:t xml:space="preserve"> </w:t>
      </w:r>
      <w:r w:rsidRPr="00D1769C">
        <w:rPr>
          <w:rFonts w:ascii="Segoe UI" w:hAnsi="Segoe UI" w:cs="Segoe UI"/>
          <w:sz w:val="20"/>
          <w:szCs w:val="20"/>
        </w:rPr>
        <w:t>შინამეურნეობებმა აქცენტი დანაზოგების სასურველი დონის აღდგენაზე გააკეთონ, რაც შეზღუდავს მოხმარებაზე გაწეულ დანახარჯებს. მოცემული სცენარის განვითარების შემთხვევაში, ადგილი ექნება მომხმარებელთა ქცევის ცვლილებას, რომლის პირობებში შემცირდება მომხმარებელთა სენტიმენტი და მათ მიერ გაწეული სამომხმარებლო ხარჯები.</w:t>
      </w:r>
      <w:r>
        <w:rPr>
          <w:rFonts w:ascii="Segoe UI" w:hAnsi="Segoe UI" w:cs="Segoe UI"/>
          <w:sz w:val="20"/>
          <w:szCs w:val="20"/>
        </w:rPr>
        <w:t xml:space="preserve"> </w:t>
      </w:r>
    </w:p>
    <w:p w:rsidR="00954905" w:rsidRDefault="00954905" w:rsidP="00385E6A">
      <w:pPr>
        <w:tabs>
          <w:tab w:val="left" w:pos="900"/>
        </w:tabs>
        <w:ind w:firstLine="540"/>
        <w:jc w:val="both"/>
        <w:rPr>
          <w:rFonts w:ascii="Segoe UI" w:hAnsi="Segoe UI" w:cs="Segoe UI"/>
          <w:sz w:val="20"/>
          <w:szCs w:val="20"/>
        </w:rPr>
      </w:pPr>
    </w:p>
    <w:p w:rsidR="00194344" w:rsidRDefault="00194344" w:rsidP="00194344">
      <w:pPr>
        <w:tabs>
          <w:tab w:val="left" w:pos="900"/>
        </w:tabs>
        <w:jc w:val="both"/>
        <w:rPr>
          <w:rFonts w:ascii="Sylfaen" w:hAnsi="Sylfaen"/>
        </w:rPr>
      </w:pPr>
      <w:r w:rsidRPr="003B5120">
        <w:rPr>
          <w:rFonts w:ascii="Calibri" w:eastAsia="Calibri" w:hAnsi="Calibri" w:cs="Times New Roman"/>
          <w:noProof/>
        </w:rPr>
        <mc:AlternateContent>
          <mc:Choice Requires="wps">
            <w:drawing>
              <wp:anchor distT="0" distB="0" distL="114300" distR="114300" simplePos="0" relativeHeight="251681792" behindDoc="0" locked="0" layoutInCell="1" allowOverlap="1" wp14:anchorId="6D4F3FE8" wp14:editId="145398E0">
                <wp:simplePos x="0" y="0"/>
                <wp:positionH relativeFrom="column">
                  <wp:posOffset>41275</wp:posOffset>
                </wp:positionH>
                <wp:positionV relativeFrom="paragraph">
                  <wp:posOffset>22225</wp:posOffset>
                </wp:positionV>
                <wp:extent cx="3197860" cy="454025"/>
                <wp:effectExtent l="0" t="0" r="2540" b="3175"/>
                <wp:wrapNone/>
                <wp:docPr id="59" name="Text Box 59"/>
                <wp:cNvGraphicFramePr/>
                <a:graphic xmlns:a="http://schemas.openxmlformats.org/drawingml/2006/main">
                  <a:graphicData uri="http://schemas.microsoft.com/office/word/2010/wordprocessingShape">
                    <wps:wsp>
                      <wps:cNvSpPr txBox="1"/>
                      <wps:spPr>
                        <a:xfrm>
                          <a:off x="0" y="0"/>
                          <a:ext cx="3197860" cy="454025"/>
                        </a:xfrm>
                        <a:prstGeom prst="rect">
                          <a:avLst/>
                        </a:prstGeom>
                        <a:solidFill>
                          <a:prstClr val="white"/>
                        </a:solidFill>
                        <a:ln>
                          <a:noFill/>
                        </a:ln>
                      </wps:spPr>
                      <wps:txbx>
                        <w:txbxContent>
                          <w:p w:rsidR="0004274A" w:rsidRPr="00F23CB8" w:rsidRDefault="0004274A"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F23CB8" w:rsidRDefault="0004274A"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F23CB8" w:rsidRDefault="0004274A"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F23CB8" w:rsidRDefault="0004274A"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F23CB8" w:rsidRDefault="0004274A"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F23CB8" w:rsidRDefault="0004274A"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F23CB8" w:rsidRDefault="0004274A"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F23CB8" w:rsidRDefault="0004274A"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F3FE8" id="Text Box 59" o:spid="_x0000_s1034" type="#_x0000_t202" style="position:absolute;left:0;text-align:left;margin-left:3.25pt;margin-top:1.75pt;width:251.8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" stroked="f">
                <v:textbox inset="0,0,0,0">
                  <w:txbxContent>
                    <w:p w:rsidR="0004274A" w:rsidRPr="00F23CB8" w:rsidRDefault="0004274A"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F23CB8" w:rsidRDefault="0004274A"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F23CB8" w:rsidRDefault="0004274A"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F23CB8" w:rsidRDefault="0004274A"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F23CB8" w:rsidRDefault="0004274A"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F23CB8" w:rsidRDefault="0004274A"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F23CB8" w:rsidRDefault="0004274A"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F23CB8" w:rsidRDefault="0004274A" w:rsidP="00194344">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გლობალური</w:t>
                      </w:r>
                      <w:r w:rsidRPr="00F23CB8">
                        <w:rPr>
                          <w:rFonts w:cstheme="minorHAnsi"/>
                          <w:i w:val="0"/>
                          <w:iCs w:val="0"/>
                          <w:lang w:val="ka-GE"/>
                        </w:rPr>
                        <w:t xml:space="preserve"> </w:t>
                      </w:r>
                      <w:r w:rsidRPr="00F23CB8">
                        <w:rPr>
                          <w:rFonts w:ascii="Sylfaen" w:hAnsi="Sylfaen" w:cs="Sylfaen"/>
                          <w:i w:val="0"/>
                          <w:iCs w:val="0"/>
                          <w:lang w:val="ka-GE"/>
                        </w:rPr>
                        <w:t>ფინანსური</w:t>
                      </w:r>
                      <w:r w:rsidRPr="00F23CB8">
                        <w:rPr>
                          <w:rFonts w:cstheme="minorHAnsi"/>
                          <w:i w:val="0"/>
                          <w:iCs w:val="0"/>
                          <w:lang w:val="ka-GE"/>
                        </w:rPr>
                        <w:t xml:space="preserve"> </w:t>
                      </w:r>
                      <w:r w:rsidRPr="00F23CB8">
                        <w:rPr>
                          <w:rFonts w:ascii="Sylfaen" w:hAnsi="Sylfaen" w:cs="Sylfaen"/>
                          <w:i w:val="0"/>
                          <w:iCs w:val="0"/>
                          <w:lang w:val="ka-GE"/>
                        </w:rPr>
                        <w:t>კრიზისისა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COVID-19 </w:t>
                      </w:r>
                      <w:r w:rsidRPr="00F23CB8">
                        <w:rPr>
                          <w:rFonts w:ascii="Sylfaen" w:hAnsi="Sylfaen" w:cs="Sylfaen"/>
                          <w:i w:val="0"/>
                          <w:iCs w:val="0"/>
                          <w:lang w:val="ka-GE"/>
                        </w:rPr>
                        <w:t>პანდემიის</w:t>
                      </w:r>
                      <w:r w:rsidRPr="00F23CB8">
                        <w:rPr>
                          <w:rFonts w:cstheme="minorHAnsi"/>
                          <w:i w:val="0"/>
                          <w:iCs w:val="0"/>
                          <w:lang w:val="ka-GE"/>
                        </w:rPr>
                        <w:t xml:space="preserve"> </w:t>
                      </w:r>
                      <w:r w:rsidRPr="00F23CB8">
                        <w:rPr>
                          <w:rFonts w:ascii="Sylfaen" w:hAnsi="Sylfaen" w:cs="Sylfaen"/>
                          <w:i w:val="0"/>
                          <w:iCs w:val="0"/>
                          <w:lang w:val="ka-GE"/>
                        </w:rPr>
                        <w:t>შედეგები</w:t>
                      </w:r>
                      <w:r w:rsidRPr="00F23CB8">
                        <w:rPr>
                          <w:rFonts w:cstheme="minorHAnsi"/>
                          <w:i w:val="0"/>
                          <w:iCs w:val="0"/>
                          <w:lang w:val="ka-GE"/>
                        </w:rPr>
                        <w:t xml:space="preserve"> </w:t>
                      </w:r>
                      <w:r w:rsidRPr="00F23CB8">
                        <w:rPr>
                          <w:rFonts w:ascii="Sylfaen" w:hAnsi="Sylfaen" w:cs="Sylfaen"/>
                          <w:i w:val="0"/>
                          <w:iCs w:val="0"/>
                          <w:lang w:val="ka-GE"/>
                        </w:rPr>
                        <w:t>გლობალურ</w:t>
                      </w:r>
                      <w:r w:rsidRPr="00F23CB8">
                        <w:rPr>
                          <w:rFonts w:cstheme="minorHAnsi"/>
                          <w:i w:val="0"/>
                          <w:iCs w:val="0"/>
                          <w:lang w:val="ka-GE"/>
                        </w:rPr>
                        <w:t xml:space="preserve"> </w:t>
                      </w:r>
                      <w:r w:rsidRPr="00F23CB8">
                        <w:rPr>
                          <w:rFonts w:ascii="Sylfaen" w:hAnsi="Sylfaen" w:cs="Sylfaen"/>
                          <w:i w:val="0"/>
                          <w:iCs w:val="0"/>
                          <w:lang w:val="ka-GE"/>
                        </w:rPr>
                        <w:t>ვალსა</w:t>
                      </w:r>
                      <w:r w:rsidRPr="00F23CB8">
                        <w:rPr>
                          <w:rFonts w:cstheme="minorHAnsi"/>
                          <w:i w:val="0"/>
                          <w:iCs w:val="0"/>
                          <w:lang w:val="ka-GE"/>
                        </w:rPr>
                        <w:t xml:space="preserve"> </w:t>
                      </w:r>
                      <w:r w:rsidRPr="00F23CB8">
                        <w:rPr>
                          <w:rFonts w:ascii="Sylfaen" w:hAnsi="Sylfaen" w:cs="Sylfaen"/>
                          <w:i w:val="0"/>
                          <w:iCs w:val="0"/>
                          <w:lang w:val="ka-GE"/>
                        </w:rPr>
                        <w:t>და</w:t>
                      </w:r>
                      <w:r w:rsidRPr="00F23CB8">
                        <w:rPr>
                          <w:rFonts w:cstheme="minorHAnsi"/>
                          <w:i w:val="0"/>
                          <w:iCs w:val="0"/>
                          <w:lang w:val="ka-GE"/>
                        </w:rPr>
                        <w:t xml:space="preserve"> </w:t>
                      </w:r>
                      <w:r w:rsidRPr="00F23CB8">
                        <w:rPr>
                          <w:rFonts w:ascii="Sylfaen" w:hAnsi="Sylfaen" w:cs="Sylfaen"/>
                          <w:i w:val="0"/>
                          <w:iCs w:val="0"/>
                          <w:lang w:val="ka-GE"/>
                        </w:rPr>
                        <w:t>ფისკალურ</w:t>
                      </w:r>
                      <w:r w:rsidRPr="00F23CB8">
                        <w:rPr>
                          <w:rFonts w:cstheme="minorHAnsi"/>
                          <w:i w:val="0"/>
                          <w:iCs w:val="0"/>
                          <w:lang w:val="ka-GE"/>
                        </w:rPr>
                        <w:t xml:space="preserve"> </w:t>
                      </w:r>
                      <w:r w:rsidRPr="00F23CB8">
                        <w:rPr>
                          <w:rFonts w:ascii="Sylfaen" w:hAnsi="Sylfaen" w:cs="Sylfaen"/>
                          <w:i w:val="0"/>
                          <w:iCs w:val="0"/>
                          <w:lang w:val="ka-GE"/>
                        </w:rPr>
                        <w:t>ბალანსზე</w:t>
                      </w:r>
                    </w:p>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194344"/>
                    <w:p w:rsidR="0004274A" w:rsidRPr="003B5120" w:rsidRDefault="0004274A" w:rsidP="00194344">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v:shape>
            </w:pict>
          </mc:Fallback>
        </mc:AlternateContent>
      </w:r>
    </w:p>
    <w:p w:rsidR="00194344" w:rsidRDefault="00194344" w:rsidP="00194344">
      <w:pPr>
        <w:rPr>
          <w:rFonts w:ascii="Sylfaen" w:hAnsi="Sylfaen"/>
        </w:rPr>
      </w:pPr>
    </w:p>
    <w:p w:rsidR="00194344" w:rsidRDefault="00954905" w:rsidP="00194344">
      <w:pPr>
        <w:rPr>
          <w:rFonts w:ascii="Sylfaen" w:hAnsi="Sylfaen"/>
        </w:rPr>
      </w:pPr>
      <w:r w:rsidRPr="003B5120">
        <w:rPr>
          <w:rFonts w:ascii="Calibri" w:eastAsia="Calibri" w:hAnsi="Calibri" w:cs="Times New Roman"/>
          <w:noProof/>
        </w:rPr>
        <mc:AlternateContent>
          <mc:Choice Requires="wps">
            <w:drawing>
              <wp:anchor distT="0" distB="0" distL="114300" distR="114300" simplePos="0" relativeHeight="251685888" behindDoc="1" locked="0" layoutInCell="1" allowOverlap="1" wp14:anchorId="661C8AEF" wp14:editId="700AF08D">
                <wp:simplePos x="0" y="0"/>
                <wp:positionH relativeFrom="column">
                  <wp:posOffset>81280</wp:posOffset>
                </wp:positionH>
                <wp:positionV relativeFrom="paragraph">
                  <wp:posOffset>2416810</wp:posOffset>
                </wp:positionV>
                <wp:extent cx="3197860" cy="133350"/>
                <wp:effectExtent l="0" t="0" r="2540" b="0"/>
                <wp:wrapTopAndBottom/>
                <wp:docPr id="60" name="Text Box 60"/>
                <wp:cNvGraphicFramePr/>
                <a:graphic xmlns:a="http://schemas.openxmlformats.org/drawingml/2006/main">
                  <a:graphicData uri="http://schemas.microsoft.com/office/word/2010/wordprocessingShape">
                    <wps:wsp>
                      <wps:cNvSpPr txBox="1"/>
                      <wps:spPr>
                        <a:xfrm>
                          <a:off x="0" y="0"/>
                          <a:ext cx="3197860" cy="133350"/>
                        </a:xfrm>
                        <a:prstGeom prst="rect">
                          <a:avLst/>
                        </a:prstGeom>
                        <a:solidFill>
                          <a:prstClr val="white"/>
                        </a:solidFill>
                        <a:ln>
                          <a:noFill/>
                        </a:ln>
                      </wps:spPr>
                      <wps:txbx>
                        <w:txbxContent>
                          <w:p w:rsidR="0004274A" w:rsidRPr="00F23CB8" w:rsidRDefault="0004274A"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F23CB8" w:rsidRDefault="0004274A"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F23CB8" w:rsidRDefault="0004274A"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F23CB8" w:rsidRDefault="0004274A"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F23CB8" w:rsidRDefault="0004274A"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F23CB8" w:rsidRDefault="0004274A"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F23CB8" w:rsidRDefault="0004274A"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F23CB8" w:rsidRDefault="0004274A"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C8AEF" id="Text Box 60" o:spid="_x0000_s1035" type="#_x0000_t202" style="position:absolute;margin-left:6.4pt;margin-top:190.3pt;width:251.8pt;height:1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" stroked="f">
                <v:textbox inset="0,0,0,0">
                  <w:txbxContent>
                    <w:p w:rsidR="0004274A" w:rsidRPr="00F23CB8" w:rsidRDefault="0004274A"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F23CB8" w:rsidRDefault="0004274A"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F23CB8" w:rsidRDefault="0004274A"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F23CB8" w:rsidRDefault="0004274A"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F23CB8" w:rsidRDefault="0004274A"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F23CB8" w:rsidRDefault="0004274A"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F23CB8" w:rsidRDefault="0004274A"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F23CB8" w:rsidRDefault="0004274A" w:rsidP="00194344">
                      <w:pPr>
                        <w:pStyle w:val="Caption"/>
                        <w:rPr>
                          <w:rFonts w:asciiTheme="majorHAnsi" w:hAnsiTheme="majorHAnsi" w:cstheme="majorHAnsi"/>
                          <w:i w:val="0"/>
                          <w:iCs w:val="0"/>
                          <w:noProof/>
                          <w:sz w:val="14"/>
                          <w:lang w:val="ka-GE"/>
                        </w:rPr>
                      </w:pPr>
                      <w:r w:rsidRPr="00F23CB8">
                        <w:rPr>
                          <w:rFonts w:ascii="Sylfaen" w:hAnsi="Sylfaen" w:cs="Sylfaen"/>
                          <w:i w:val="0"/>
                          <w:iCs w:val="0"/>
                          <w:sz w:val="14"/>
                          <w:lang w:val="ka-GE"/>
                        </w:rPr>
                        <w:t>წყარო</w:t>
                      </w:r>
                      <w:r w:rsidRPr="00F23CB8">
                        <w:rPr>
                          <w:rFonts w:asciiTheme="majorHAnsi" w:hAnsiTheme="majorHAnsi" w:cstheme="majorHAnsi"/>
                          <w:i w:val="0"/>
                          <w:iCs w:val="0"/>
                          <w:sz w:val="14"/>
                          <w:lang w:val="ka-GE"/>
                        </w:rPr>
                        <w:t xml:space="preserve">: </w:t>
                      </w:r>
                      <w:r w:rsidRPr="00F23CB8">
                        <w:rPr>
                          <w:rFonts w:asciiTheme="majorHAnsi" w:hAnsiTheme="majorHAnsi" w:cstheme="majorHAnsi"/>
                          <w:i w:val="0"/>
                          <w:iCs w:val="0"/>
                          <w:sz w:val="14"/>
                        </w:rPr>
                        <w:t xml:space="preserve">IMF, </w:t>
                      </w:r>
                      <w:r w:rsidRPr="00F23CB8">
                        <w:rPr>
                          <w:rFonts w:ascii="Sylfaen" w:hAnsi="Sylfaen" w:cs="Sylfaen"/>
                          <w:i w:val="0"/>
                          <w:iCs w:val="0"/>
                          <w:sz w:val="14"/>
                          <w:lang w:val="ka-GE"/>
                        </w:rPr>
                        <w:t>ივნისი</w:t>
                      </w:r>
                      <w:r w:rsidRPr="00F23CB8">
                        <w:rPr>
                          <w:rFonts w:asciiTheme="majorHAnsi" w:hAnsiTheme="majorHAnsi" w:cstheme="majorHAnsi"/>
                          <w:i w:val="0"/>
                          <w:iCs w:val="0"/>
                          <w:sz w:val="14"/>
                          <w:lang w:val="ka-GE"/>
                        </w:rPr>
                        <w:t xml:space="preserve"> 2020</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p w:rsidR="0004274A" w:rsidRDefault="0004274A" w:rsidP="00194344"/>
                    <w:p w:rsidR="0004274A" w:rsidRPr="003B5120" w:rsidRDefault="0004274A" w:rsidP="00194344">
                      <w:pPr>
                        <w:pStyle w:val="Caption"/>
                        <w:rPr>
                          <w:rFonts w:ascii="Calibri Light" w:hAnsi="Calibri Light" w:cs="Calibri Light"/>
                          <w:i w:val="0"/>
                          <w:iCs w:val="0"/>
                          <w:noProof/>
                          <w:sz w:val="14"/>
                        </w:rPr>
                      </w:pPr>
                      <w:r w:rsidRPr="003B5120">
                        <w:rPr>
                          <w:rFonts w:ascii="Calibri Light" w:hAnsi="Calibri Light" w:cs="Calibri Light"/>
                          <w:i w:val="0"/>
                          <w:iCs w:val="0"/>
                          <w:sz w:val="14"/>
                          <w:lang w:val="ka-GE"/>
                        </w:rPr>
                        <w:t>წყარო: საქსტატი</w:t>
                      </w:r>
                    </w:p>
                  </w:txbxContent>
                </v:textbox>
                <w10:wrap type="topAndBottom"/>
              </v:shape>
            </w:pict>
          </mc:Fallback>
        </mc:AlternateContent>
      </w:r>
    </w:p>
    <w:p w:rsidR="00194344" w:rsidRDefault="00954905" w:rsidP="00194344">
      <w:pPr>
        <w:rPr>
          <w:rFonts w:ascii="Sylfaen" w:hAnsi="Sylfaen"/>
        </w:rPr>
      </w:pPr>
      <w:r>
        <w:rPr>
          <w:noProof/>
        </w:rPr>
        <w:drawing>
          <wp:anchor distT="0" distB="0" distL="114300" distR="114300" simplePos="0" relativeHeight="251728896" behindDoc="0" locked="0" layoutInCell="1" allowOverlap="1" wp14:anchorId="6EBB497B" wp14:editId="21FEE20E">
            <wp:simplePos x="0" y="0"/>
            <wp:positionH relativeFrom="column">
              <wp:posOffset>-4445</wp:posOffset>
            </wp:positionH>
            <wp:positionV relativeFrom="paragraph">
              <wp:posOffset>3810</wp:posOffset>
            </wp:positionV>
            <wp:extent cx="3182400" cy="1998000"/>
            <wp:effectExtent l="0" t="0" r="0" b="2540"/>
            <wp:wrapTopAndBottom/>
            <wp:docPr id="4" name="Chart 4">
              <a:extLst xmlns:a="http://schemas.openxmlformats.org/drawingml/2006/main">
                <a:ext uri="{FF2B5EF4-FFF2-40B4-BE49-F238E27FC236}">
                  <a16:creationId xmlns:a16="http://schemas.microsoft.com/office/drawing/2014/main" id="{279DE495-A5A3-4B21-AE85-4CBA8A952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194344" w:rsidRDefault="00194344" w:rsidP="00954905">
      <w:pPr>
        <w:rPr>
          <w:rFonts w:ascii="Sylfaen" w:hAnsi="Sylfaen"/>
        </w:rPr>
      </w:pPr>
    </w:p>
    <w:p w:rsidR="00194344" w:rsidRPr="00B87A65" w:rsidRDefault="00194344" w:rsidP="00194344">
      <w:pPr>
        <w:pStyle w:val="Heading1"/>
        <w:numPr>
          <w:ilvl w:val="0"/>
          <w:numId w:val="4"/>
        </w:numPr>
        <w:ind w:left="360" w:hanging="360"/>
        <w:rPr>
          <w:b/>
          <w:bCs w:val="0"/>
        </w:rPr>
      </w:pPr>
      <w:r w:rsidRPr="00B87A65">
        <w:rPr>
          <w:b/>
          <w:bCs w:val="0"/>
        </w:rPr>
        <w:t>სცენარები საშუალოვადიან პერიოდში</w:t>
      </w:r>
    </w:p>
    <w:p w:rsidR="00194344" w:rsidRPr="00D920D4" w:rsidRDefault="00FD2A2F" w:rsidP="00385E6A">
      <w:pPr>
        <w:spacing w:line="276" w:lineRule="auto"/>
        <w:ind w:firstLine="540"/>
        <w:jc w:val="both"/>
        <w:rPr>
          <w:rFonts w:ascii="Sylfaen" w:hAnsi="Sylfaen" w:cs="Segoe UI"/>
          <w:sz w:val="20"/>
          <w:szCs w:val="20"/>
        </w:rPr>
      </w:pPr>
      <w:r>
        <w:rPr>
          <w:rFonts w:ascii="Sylfaen" w:hAnsi="Sylfaen" w:cs="Segoe UI"/>
          <w:sz w:val="20"/>
          <w:szCs w:val="20"/>
          <w:lang w:val="ka-GE"/>
        </w:rPr>
        <w:t xml:space="preserve">წარმოდგენილია </w:t>
      </w:r>
      <w:r w:rsidR="00194344" w:rsidRPr="00D920D4">
        <w:rPr>
          <w:rFonts w:ascii="Sylfaen" w:hAnsi="Sylfaen" w:cs="Segoe UI"/>
          <w:sz w:val="20"/>
          <w:szCs w:val="20"/>
        </w:rPr>
        <w:t>ეკონომიკური პროგნოზების</w:t>
      </w:r>
      <w:r w:rsidR="00194344" w:rsidRPr="00D920D4">
        <w:rPr>
          <w:rFonts w:ascii="Sylfaen" w:hAnsi="Sylfaen" w:cs="Segoe UI"/>
          <w:sz w:val="20"/>
          <w:szCs w:val="20"/>
          <w:lang w:val="ka-GE"/>
        </w:rPr>
        <w:t xml:space="preserve"> </w:t>
      </w:r>
      <w:r w:rsidR="00194344" w:rsidRPr="00D920D4">
        <w:rPr>
          <w:rFonts w:ascii="Sylfaen" w:hAnsi="Sylfaen" w:cs="Segoe UI"/>
          <w:sz w:val="20"/>
          <w:szCs w:val="20"/>
        </w:rPr>
        <w:t>სამი სცენარი -</w:t>
      </w:r>
      <w:r w:rsidR="00194344" w:rsidRPr="00D920D4">
        <w:rPr>
          <w:rFonts w:ascii="Sylfaen" w:hAnsi="Sylfaen" w:cs="Segoe UI"/>
          <w:sz w:val="20"/>
          <w:szCs w:val="20"/>
          <w:lang w:val="ka-GE"/>
        </w:rPr>
        <w:t xml:space="preserve"> </w:t>
      </w:r>
      <w:r w:rsidR="00194344" w:rsidRPr="00D920D4">
        <w:rPr>
          <w:rFonts w:ascii="Sylfaen" w:hAnsi="Sylfaen" w:cs="Segoe UI"/>
          <w:sz w:val="20"/>
          <w:szCs w:val="20"/>
        </w:rPr>
        <w:t xml:space="preserve">საბაზისო, პოზიტიური და </w:t>
      </w:r>
      <w:r w:rsidR="00194344" w:rsidRPr="00D920D4">
        <w:rPr>
          <w:rFonts w:ascii="Sylfaen" w:hAnsi="Sylfaen" w:cs="Segoe UI"/>
          <w:sz w:val="20"/>
          <w:szCs w:val="20"/>
          <w:lang w:val="ka-GE"/>
        </w:rPr>
        <w:t>ნეგატიური</w:t>
      </w:r>
      <w:r w:rsidR="00194344" w:rsidRPr="00D920D4">
        <w:rPr>
          <w:rFonts w:ascii="Sylfaen" w:hAnsi="Sylfaen" w:cs="Segoe UI"/>
          <w:sz w:val="20"/>
          <w:szCs w:val="20"/>
        </w:rPr>
        <w:t>. აღნიშნული სცენარები ეფუძნება მე</w:t>
      </w:r>
      <w:r w:rsidR="00935545">
        <w:rPr>
          <w:rFonts w:ascii="Sylfaen" w:hAnsi="Sylfaen" w:cs="Segoe UI"/>
          <w:sz w:val="20"/>
          <w:szCs w:val="20"/>
          <w:lang w:val="ka-GE"/>
        </w:rPr>
        <w:t>ოთხე</w:t>
      </w:r>
      <w:r w:rsidR="00194344" w:rsidRPr="00D920D4">
        <w:rPr>
          <w:rFonts w:ascii="Sylfaen" w:hAnsi="Sylfaen" w:cs="Segoe UI"/>
          <w:sz w:val="20"/>
          <w:szCs w:val="20"/>
        </w:rPr>
        <w:t xml:space="preserve"> თავში იდენტიფიცირებული რისკების გავლენის ხარისხს და მათი მატერიალიზაციის განსხვავებულ ალბათობებს</w:t>
      </w:r>
      <w:r w:rsidR="00385E6A" w:rsidRPr="00D920D4">
        <w:rPr>
          <w:rFonts w:ascii="Sylfaen" w:hAnsi="Sylfaen" w:cs="Segoe UI"/>
          <w:sz w:val="20"/>
          <w:szCs w:val="20"/>
        </w:rPr>
        <w:t>.</w:t>
      </w:r>
    </w:p>
    <w:p w:rsidR="00194344" w:rsidRDefault="00194344" w:rsidP="00385E6A">
      <w:pPr>
        <w:spacing w:line="276" w:lineRule="auto"/>
        <w:ind w:firstLine="540"/>
        <w:jc w:val="both"/>
        <w:rPr>
          <w:rFonts w:ascii="Sylfaen" w:hAnsi="Sylfaen" w:cs="Segoe UI"/>
          <w:sz w:val="20"/>
          <w:szCs w:val="20"/>
          <w:lang w:val="ka-GE"/>
        </w:rPr>
      </w:pPr>
      <w:r w:rsidRPr="00D920D4">
        <w:rPr>
          <w:rFonts w:ascii="Sylfaen" w:hAnsi="Sylfaen" w:cs="Segoe UI"/>
          <w:sz w:val="20"/>
          <w:szCs w:val="20"/>
        </w:rPr>
        <w:t>პროგნოზის სცენარების შემუშავებისას დაიანგარიშება თითოეულ სცენარში რისკების მატერიალიზაციის გავლენა ეგზოგენურ ცვლადებზ</w:t>
      </w:r>
      <m:oMath>
        <m:sSup>
          <m:sSupPr>
            <m:ctrlPr>
              <w:rPr>
                <w:rFonts w:ascii="Cambria Math" w:hAnsi="Cambria Math" w:cs="Segoe UI"/>
                <w:i/>
                <w:sz w:val="20"/>
                <w:szCs w:val="20"/>
                <w:lang w:val="ka-GE"/>
              </w:rPr>
            </m:ctrlPr>
          </m:sSupPr>
          <m:e>
            <m:r>
              <m:rPr>
                <m:sty m:val="p"/>
              </m:rPr>
              <w:rPr>
                <w:rFonts w:ascii="Sylfaen" w:hAnsi="Sylfaen" w:cs="Sylfaen"/>
                <w:sz w:val="20"/>
                <w:szCs w:val="20"/>
                <w:lang w:val="ka-GE"/>
              </w:rPr>
              <m:t>ე</m:t>
            </m:r>
          </m:e>
          <m:sup>
            <m:r>
              <w:rPr>
                <w:rFonts w:ascii="Cambria Math" w:hAnsi="Cambria Math" w:cs="Segoe UI"/>
                <w:sz w:val="20"/>
                <w:szCs w:val="20"/>
                <w:lang w:val="ka-GE"/>
              </w:rPr>
              <m:t>1</m:t>
            </m:r>
          </m:sup>
        </m:sSup>
      </m:oMath>
      <w:r w:rsidRPr="00D920D4">
        <w:rPr>
          <w:rFonts w:ascii="Sylfaen" w:hAnsi="Sylfaen" w:cs="Segoe UI"/>
          <w:sz w:val="20"/>
          <w:szCs w:val="20"/>
        </w:rPr>
        <w:t xml:space="preserve">, ხოლო შემდეგ ეგზოგენური ცვლადების საფუძველზე კეთდება პროგნოზები “საქართველოს ფისკალური მოდელის </w:t>
      </w:r>
      <m:oMath>
        <m:sSup>
          <m:sSupPr>
            <m:ctrlPr>
              <w:rPr>
                <w:rFonts w:ascii="Cambria Math" w:hAnsi="Cambria Math" w:cs="Segoe UI"/>
                <w:iCs/>
                <w:sz w:val="20"/>
                <w:szCs w:val="20"/>
              </w:rPr>
            </m:ctrlPr>
          </m:sSupPr>
          <m:e>
            <m:d>
              <m:dPr>
                <m:ctrlPr>
                  <w:rPr>
                    <w:rFonts w:ascii="Cambria Math" w:hAnsi="Cambria Math" w:cs="Segoe UI"/>
                    <w:iCs/>
                    <w:sz w:val="20"/>
                    <w:szCs w:val="20"/>
                  </w:rPr>
                </m:ctrlPr>
              </m:dPr>
              <m:e>
                <m:r>
                  <m:rPr>
                    <m:sty m:val="p"/>
                  </m:rPr>
                  <w:rPr>
                    <w:rFonts w:ascii="Cambria Math" w:hAnsi="Cambria Math" w:cs="Segoe UI"/>
                    <w:sz w:val="20"/>
                    <w:szCs w:val="20"/>
                  </w:rPr>
                  <m:t>GFM</m:t>
                </m:r>
              </m:e>
            </m:d>
          </m:e>
          <m:sup>
            <m:r>
              <m:rPr>
                <m:sty m:val="p"/>
              </m:rPr>
              <w:rPr>
                <w:rFonts w:ascii="Cambria Math" w:hAnsi="Cambria Math" w:cs="Segoe UI"/>
                <w:sz w:val="20"/>
                <w:szCs w:val="20"/>
              </w:rPr>
              <m:t>2</m:t>
            </m:r>
          </m:sup>
        </m:sSup>
      </m:oMath>
      <w:r w:rsidRPr="00D920D4">
        <w:rPr>
          <w:rFonts w:ascii="Sylfaen" w:hAnsi="Sylfaen" w:cs="Segoe UI"/>
          <w:sz w:val="20"/>
          <w:szCs w:val="20"/>
        </w:rPr>
        <w:t>” გამოყენებით. GFM მოდელი აღწერს საქართველოს ეკონომიკის საერთო წონასწორობას, სადაც ეგზოგენურია საგარეო სექტორის მონაცემები და აგრეთვე მაკროეკონომიკური პოლიტიკით განსაზღვრული ცვლადები (ჯამში 80-ზე მეტი ეგზოგენური ცვლადი). აღნიშნული ეგზოგენური ცვლადების შესახებ კეთდება დაშვებები, რის შედეგადაც მოდელი აკეთებს პროგნოზს ამ დაშვებების გავლენის გათვალისწინებით საქართველოს ეკონომიკაზე.</w:t>
      </w:r>
      <w:r w:rsidR="00C14283">
        <w:rPr>
          <w:rFonts w:ascii="Sylfaen" w:hAnsi="Sylfaen" w:cs="Segoe UI"/>
          <w:sz w:val="20"/>
          <w:szCs w:val="20"/>
          <w:lang w:val="ka-GE"/>
        </w:rPr>
        <w:t xml:space="preserve"> </w:t>
      </w:r>
    </w:p>
    <w:p w:rsidR="00C14283" w:rsidRPr="00C14283" w:rsidRDefault="00C14283" w:rsidP="00385E6A">
      <w:pPr>
        <w:spacing w:line="276" w:lineRule="auto"/>
        <w:ind w:firstLine="540"/>
        <w:jc w:val="both"/>
        <w:rPr>
          <w:rFonts w:ascii="Sylfaen" w:hAnsi="Sylfaen" w:cs="Segoe UI"/>
          <w:sz w:val="20"/>
          <w:szCs w:val="20"/>
          <w:lang w:val="ka-GE"/>
        </w:rPr>
      </w:pPr>
      <w:r>
        <w:rPr>
          <w:rFonts w:ascii="Sylfaen" w:hAnsi="Sylfaen" w:cs="Segoe UI"/>
          <w:sz w:val="20"/>
          <w:szCs w:val="20"/>
          <w:lang w:val="ka-GE"/>
        </w:rPr>
        <w:t>აღსანიშნავია, რომ საბაზისო სცენარი გულისხმობს რისკების ზომიერად მატერიალიზაციას, ოპტიმისტურ სცენარში აღნიშნული რისკების მატერიალიზაციას არ ველით, ხოლო პე</w:t>
      </w:r>
      <w:r w:rsidR="00C300FF">
        <w:rPr>
          <w:rFonts w:ascii="Sylfaen" w:hAnsi="Sylfaen" w:cs="Segoe UI"/>
          <w:sz w:val="20"/>
          <w:szCs w:val="20"/>
          <w:lang w:val="ka-GE"/>
        </w:rPr>
        <w:t>ს</w:t>
      </w:r>
      <w:r>
        <w:rPr>
          <w:rFonts w:ascii="Sylfaen" w:hAnsi="Sylfaen" w:cs="Segoe UI"/>
          <w:sz w:val="20"/>
          <w:szCs w:val="20"/>
          <w:lang w:val="ka-GE"/>
        </w:rPr>
        <w:t xml:space="preserve">იმისტურ სცენარში გათვალისწინებულია რისკების მატერიალიზაცია მაღალი ალბათობით. </w:t>
      </w:r>
    </w:p>
    <w:p w:rsidR="00194344" w:rsidRPr="006211C7" w:rsidRDefault="00935545" w:rsidP="00194344">
      <w:pPr>
        <w:pStyle w:val="Heading2"/>
      </w:pPr>
      <w:r>
        <w:t>5</w:t>
      </w:r>
      <w:r w:rsidR="00194344">
        <w:t>.1 საბაზისო სცენარი</w:t>
      </w:r>
    </w:p>
    <w:p w:rsidR="00194344" w:rsidRPr="00194344" w:rsidRDefault="00194344" w:rsidP="00194344">
      <w:pPr>
        <w:spacing w:line="276" w:lineRule="auto"/>
        <w:ind w:firstLine="540"/>
        <w:jc w:val="both"/>
        <w:rPr>
          <w:rFonts w:ascii="Sylfaen" w:hAnsi="Sylfaen" w:cs="Segoe UI"/>
          <w:sz w:val="20"/>
          <w:szCs w:val="20"/>
        </w:rPr>
      </w:pPr>
      <w:r w:rsidRPr="00194344">
        <w:rPr>
          <w:rFonts w:ascii="Sylfaen" w:hAnsi="Sylfaen" w:cs="Segoe UI"/>
          <w:sz w:val="20"/>
          <w:szCs w:val="20"/>
        </w:rPr>
        <w:t>საბაზისო სცენ</w:t>
      </w:r>
      <w:r w:rsidR="00FD2A2F">
        <w:rPr>
          <w:rFonts w:ascii="Sylfaen" w:hAnsi="Sylfaen" w:cs="Segoe UI"/>
          <w:sz w:val="20"/>
          <w:szCs w:val="20"/>
          <w:lang w:val="ka-GE"/>
        </w:rPr>
        <w:t>ა</w:t>
      </w:r>
      <w:r w:rsidRPr="00194344">
        <w:rPr>
          <w:rFonts w:ascii="Sylfaen" w:hAnsi="Sylfaen" w:cs="Segoe UI"/>
          <w:sz w:val="20"/>
          <w:szCs w:val="20"/>
        </w:rPr>
        <w:t xml:space="preserve">რში 2020 წლის ეკონომიკური ზრდა -4.9 პროცენტის დონეზეა მოსალოდნელი. 2021 წლიდან ეკონომიკა გააგძელებს საშუალოდ 5 პროცენტიან ზრდას. ამ სცენარით 2025 წლისათვის ნულოვან სცენართან (პანდემიის არარსებობის შემთხვევაში) შედარებით ჩამორჩენა იქნება 6.0 პროცენტი. ეს ნიშნავს, რომ ეკონომიკა შეძლებს 2020 წელის დანაკარგის მხოლოდ </w:t>
      </w:r>
      <w:r w:rsidRPr="00194344">
        <w:rPr>
          <w:rFonts w:ascii="Sylfaen" w:hAnsi="Sylfaen" w:cs="Segoe UI"/>
          <w:sz w:val="20"/>
          <w:szCs w:val="20"/>
          <w:lang w:val="ka-GE"/>
        </w:rPr>
        <w:t xml:space="preserve">ერთი მესამედის </w:t>
      </w:r>
      <w:r w:rsidRPr="00194344">
        <w:rPr>
          <w:rFonts w:ascii="Sylfaen" w:hAnsi="Sylfaen" w:cs="Segoe UI"/>
          <w:sz w:val="20"/>
          <w:szCs w:val="20"/>
        </w:rPr>
        <w:t>აღდგენას.</w:t>
      </w:r>
      <w:r w:rsidRPr="00194344">
        <w:rPr>
          <w:rFonts w:ascii="Sylfaen" w:hAnsi="Sylfaen" w:cs="Segoe UI"/>
          <w:sz w:val="20"/>
          <w:szCs w:val="20"/>
          <w:lang w:val="ka-GE"/>
        </w:rPr>
        <w:t xml:space="preserve"> </w:t>
      </w:r>
      <w:r w:rsidRPr="00194344">
        <w:rPr>
          <w:rFonts w:ascii="Sylfaen" w:hAnsi="Sylfaen" w:cs="Segoe UI"/>
          <w:sz w:val="20"/>
          <w:szCs w:val="20"/>
        </w:rPr>
        <w:t>ჯამურად დანაკარგის მოცულობა 2020-2025 წლებში შეადგენს აღნიშნული პერიოდის საშუალო მშპ-ის 50 პროცენტს. დანაკარგი ნეგატიურად მოქმედებს ეკონომიკის გრძელვადიან განვითარებაზე რადგან მცირდება კერძო სექტორის საინვესტიციო პოტენციალი და ასევე სახელმწიფო კაპტალური ხარჯების რესურსი.</w:t>
      </w:r>
    </w:p>
    <w:p w:rsidR="00194344" w:rsidRPr="00194344" w:rsidRDefault="00194344" w:rsidP="00370703">
      <w:pPr>
        <w:spacing w:line="276" w:lineRule="auto"/>
        <w:ind w:firstLine="540"/>
        <w:jc w:val="both"/>
        <w:rPr>
          <w:rFonts w:ascii="Sylfaen" w:hAnsi="Sylfaen" w:cs="Segoe UI"/>
          <w:sz w:val="20"/>
          <w:szCs w:val="20"/>
        </w:rPr>
      </w:pPr>
      <w:r w:rsidRPr="00194344">
        <w:rPr>
          <w:rFonts w:ascii="Sylfaen" w:hAnsi="Sylfaen" w:cs="Segoe UI"/>
          <w:sz w:val="20"/>
          <w:szCs w:val="20"/>
        </w:rPr>
        <w:t>2020 წელს ინფლაცია 5.</w:t>
      </w:r>
      <w:r w:rsidRPr="00194344">
        <w:rPr>
          <w:rFonts w:ascii="Sylfaen" w:hAnsi="Sylfaen" w:cs="Segoe UI"/>
          <w:sz w:val="20"/>
          <w:szCs w:val="20"/>
          <w:lang w:val="ka-GE"/>
        </w:rPr>
        <w:t>1</w:t>
      </w:r>
      <w:r w:rsidRPr="00194344">
        <w:rPr>
          <w:rFonts w:ascii="Sylfaen" w:hAnsi="Sylfaen" w:cs="Segoe UI"/>
          <w:sz w:val="20"/>
          <w:szCs w:val="20"/>
        </w:rPr>
        <w:t xml:space="preserve"> პროცენტს აღწევს. ეს მაჩვენებელი ძირითადად განპირობებულია წლის პირველ ნახევარში მიწოდების შოკთან. საშუალოვადიან პერიოდში ძლიერი იქნება მოთხოვნის მხრიდან ფასებზე ზეწოლა შემცირების მი</w:t>
      </w:r>
      <w:r w:rsidRPr="00194344">
        <w:rPr>
          <w:rFonts w:ascii="Sylfaen" w:hAnsi="Sylfaen" w:cs="Segoe UI"/>
          <w:sz w:val="20"/>
          <w:szCs w:val="20"/>
          <w:lang w:val="ka-GE"/>
        </w:rPr>
        <w:t>მ</w:t>
      </w:r>
      <w:r w:rsidRPr="00194344">
        <w:rPr>
          <w:rFonts w:ascii="Sylfaen" w:hAnsi="Sylfaen" w:cs="Segoe UI"/>
          <w:sz w:val="20"/>
          <w:szCs w:val="20"/>
        </w:rPr>
        <w:t>ართ</w:t>
      </w:r>
      <w:r w:rsidRPr="00194344">
        <w:rPr>
          <w:rFonts w:ascii="Sylfaen" w:hAnsi="Sylfaen" w:cs="Segoe UI"/>
          <w:sz w:val="20"/>
          <w:szCs w:val="20"/>
          <w:lang w:val="ka-GE"/>
        </w:rPr>
        <w:t>უ</w:t>
      </w:r>
      <w:r w:rsidRPr="00194344">
        <w:rPr>
          <w:rFonts w:ascii="Sylfaen" w:hAnsi="Sylfaen" w:cs="Segoe UI"/>
          <w:sz w:val="20"/>
          <w:szCs w:val="20"/>
        </w:rPr>
        <w:t>ლებით, რაც ინფლაციის სწრაფ დასტაბილურებას გამოიწვევს. მომდევნო წლებში მიზნობრივი ინფლაციის შენარჩუნება შესაძლებელი იქნება შერბილებული მონეტარული პოლიტიკით.</w:t>
      </w:r>
    </w:p>
    <w:p w:rsidR="00194344" w:rsidRPr="00194344" w:rsidRDefault="00194344" w:rsidP="00370703">
      <w:pPr>
        <w:spacing w:line="276" w:lineRule="auto"/>
        <w:ind w:firstLine="540"/>
        <w:jc w:val="both"/>
        <w:rPr>
          <w:rFonts w:ascii="Sylfaen" w:hAnsi="Sylfaen" w:cs="Segoe UI"/>
          <w:sz w:val="20"/>
          <w:szCs w:val="20"/>
          <w:lang w:val="ka-GE"/>
        </w:rPr>
      </w:pPr>
      <w:r w:rsidRPr="00194344">
        <w:rPr>
          <w:rFonts w:ascii="Sylfaen" w:hAnsi="Sylfaen" w:cs="Segoe UI"/>
          <w:sz w:val="20"/>
          <w:szCs w:val="20"/>
        </w:rPr>
        <w:t>რეგიონში განვითარებული გეოპოლიტიკური რისკების ფონზე, აგრეთვე გაუარესებული ფისკალური პოზიციისა და შემცირებული შემოსავლების ფონზე მნიშვნელოვან დარტყმას მიიღებს კერძო ინვესტიციები. რაც 2020 წელს მშპ-ს 15.3 პროცენტის დონეზეა მოსალოდნელი (3.1 პ.პ.-ით ნაკლები 2019</w:t>
      </w:r>
      <w:r w:rsidRPr="00194344">
        <w:rPr>
          <w:rFonts w:ascii="Sylfaen" w:hAnsi="Sylfaen" w:cs="Segoe UI"/>
          <w:sz w:val="20"/>
          <w:szCs w:val="20"/>
          <w:lang w:val="ka-GE"/>
        </w:rPr>
        <w:t>-</w:t>
      </w:r>
      <w:r w:rsidRPr="00194344">
        <w:rPr>
          <w:rFonts w:ascii="Sylfaen" w:hAnsi="Sylfaen" w:cs="Segoe UI"/>
          <w:sz w:val="20"/>
          <w:szCs w:val="20"/>
        </w:rPr>
        <w:t>თან შედარებით). საშუალოვადიან პერიოდში ინვესტიციები</w:t>
      </w:r>
      <w:r w:rsidRPr="00194344">
        <w:rPr>
          <w:rFonts w:ascii="Sylfaen" w:hAnsi="Sylfaen" w:cs="Segoe UI"/>
          <w:sz w:val="20"/>
          <w:szCs w:val="20"/>
          <w:lang w:val="ka-GE"/>
        </w:rPr>
        <w:t xml:space="preserve"> აღდგენას დაიწყებს და 2023 წლისთვის მოსალოდნელია რომ დაუბრუნდება საბაზისო მაჩვენებელს, თუმცა 2020-2022 წლებში მიღებული დანაკლისი შეამცირებს ზრდის პოტენციალს.</w:t>
      </w:r>
    </w:p>
    <w:p w:rsidR="00194344" w:rsidRPr="00194344" w:rsidRDefault="00194344" w:rsidP="00370703">
      <w:pPr>
        <w:spacing w:line="276" w:lineRule="auto"/>
        <w:ind w:firstLine="540"/>
        <w:jc w:val="both"/>
        <w:rPr>
          <w:rFonts w:ascii="Sylfaen" w:hAnsi="Sylfaen" w:cs="Segoe UI"/>
          <w:sz w:val="20"/>
          <w:szCs w:val="20"/>
          <w:lang w:val="ka-GE"/>
        </w:rPr>
      </w:pPr>
      <w:r w:rsidRPr="00194344">
        <w:rPr>
          <w:rFonts w:ascii="Sylfaen" w:hAnsi="Sylfaen" w:cs="Segoe UI"/>
          <w:sz w:val="20"/>
          <w:szCs w:val="20"/>
          <w:lang w:val="ka-GE"/>
        </w:rPr>
        <w:t>შემცირებული ინვესტიციები, 2021 წლიდან, შეამცირებს მიმდინარე ანგარიშის დეფიციტს, რაც საგარეო მოწყვლადობის არგაუარესებისათვის პოზიტი</w:t>
      </w:r>
      <w:r w:rsidR="00370703">
        <w:rPr>
          <w:rFonts w:ascii="Sylfaen" w:hAnsi="Sylfaen" w:cs="Segoe UI"/>
          <w:sz w:val="20"/>
          <w:szCs w:val="20"/>
          <w:lang w:val="ka-GE"/>
        </w:rPr>
        <w:t>უ</w:t>
      </w:r>
      <w:r w:rsidRPr="00194344">
        <w:rPr>
          <w:rFonts w:ascii="Sylfaen" w:hAnsi="Sylfaen" w:cs="Segoe UI"/>
          <w:sz w:val="20"/>
          <w:szCs w:val="20"/>
          <w:lang w:val="ka-GE"/>
        </w:rPr>
        <w:t>რია. თუმცა, ზრდის პოტენციალის შემცირება მეორე მხრივ ხელს უშლის მაკროეკონომიკური სტაბილურობის აღდგენას. საშუალოვადიან პერიოდში ინვესტიციების მხარდაჭერა სახელმწიფო კაპიტალური ხარჯებით მნიშვნელოვანი იქნება ეკონომიკური ზრდის შესანარჩუნებლად.</w:t>
      </w:r>
    </w:p>
    <w:p w:rsidR="00194344" w:rsidRPr="00194344" w:rsidRDefault="00194344" w:rsidP="00370703">
      <w:pPr>
        <w:spacing w:line="276" w:lineRule="auto"/>
        <w:ind w:firstLine="540"/>
        <w:jc w:val="both"/>
        <w:rPr>
          <w:rFonts w:ascii="Sylfaen" w:hAnsi="Sylfaen" w:cs="Segoe UI"/>
          <w:sz w:val="20"/>
          <w:szCs w:val="20"/>
          <w:lang w:val="ka-GE"/>
        </w:rPr>
      </w:pPr>
      <w:r w:rsidRPr="00194344">
        <w:rPr>
          <w:rFonts w:ascii="Sylfaen" w:hAnsi="Sylfaen" w:cs="Segoe UI"/>
          <w:sz w:val="20"/>
          <w:szCs w:val="20"/>
          <w:lang w:val="ka-GE"/>
        </w:rPr>
        <w:t>ტურიზმის სრული აღდგენა მნიშვნელოვანი გამოწვევა იქნება. 2022 წლისათვის მოსალოდნელია 2019 წლის მაჩვენებლის 80 პროცენტით აღდგენა. 100 პროცენტიანი ნიშნულის აღდგენა მხოლოდ 2025 წლისთვისაა მოსალოდნელი. საბაზისო სცენარი უშვებს, რომ ერთ მხრივ შემცირებული შემოსავლების ფონზე „ფუფუნების პროდუქტებზე“ მოთხოვნის შემცირება, ხოლო მეორე მხრივ „ტურისტული ბუმის“ შეჩერება ამ სექტორის წილს გლობალურ ეკონომიკაში შეამცირებს.</w:t>
      </w:r>
    </w:p>
    <w:p w:rsidR="006A04A6" w:rsidRDefault="00194344" w:rsidP="00370703">
      <w:pPr>
        <w:spacing w:line="276" w:lineRule="auto"/>
        <w:ind w:firstLine="540"/>
        <w:jc w:val="both"/>
        <w:rPr>
          <w:rFonts w:ascii="Sylfaen" w:hAnsi="Sylfaen" w:cs="Segoe UI"/>
          <w:sz w:val="20"/>
          <w:szCs w:val="20"/>
          <w:lang w:val="ka-GE"/>
        </w:rPr>
      </w:pPr>
      <w:r w:rsidRPr="00194344">
        <w:rPr>
          <w:rFonts w:ascii="Sylfaen" w:hAnsi="Sylfaen" w:cs="Segoe UI"/>
          <w:sz w:val="20"/>
          <w:szCs w:val="20"/>
          <w:lang w:val="ka-GE"/>
        </w:rPr>
        <w:t>2020 წელს ექსპორტის კლება მოსალოდნელია 12.5 პროცენტით. 2021 წელს ექსპორტი ნაწილობრივ აღდგება 6.6 პროცენტით გაიზრდება. თუმცა, საშუალოვადიან პერიოდში სუსტი საგარეო მოთხოვნის ფონზე ექსპორტის ზრდაც შენელებული იქნება. უნდა აღინიშნოს, რომ ძირითადი წვლილი შემცირებაში რეექსპორტს უჭირავს, რომლის ძირითადი ნაწილი ავტომობილებზე მოდის. შესაბამისად, საშუალოვადიან პერიოდში შემოსავლების შემცირების ფონზე „ფუფუნების საგნებზე“ მოთხოვნა კვლავაც სუსტი დარჩება.</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5264"/>
      </w:tblGrid>
      <w:tr w:rsidR="00FD5F36" w:rsidTr="00DD32A0">
        <w:tc>
          <w:tcPr>
            <w:tcW w:w="10427" w:type="dxa"/>
            <w:gridSpan w:val="2"/>
          </w:tcPr>
          <w:p w:rsidR="00FD5F36" w:rsidRPr="00FD5F36" w:rsidRDefault="00FD5F36" w:rsidP="00FD5F36">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6</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პროგნოზი</w:t>
            </w:r>
            <w:r w:rsidRPr="00F23CB8">
              <w:rPr>
                <w:rFonts w:cstheme="minorHAnsi"/>
                <w:i w:val="0"/>
                <w:iCs w:val="0"/>
                <w:lang w:val="ka-GE"/>
              </w:rPr>
              <w:t xml:space="preserve"> </w:t>
            </w:r>
            <w:r w:rsidRPr="00F23CB8">
              <w:rPr>
                <w:rFonts w:ascii="Sylfaen" w:hAnsi="Sylfaen" w:cs="Sylfaen"/>
                <w:i w:val="0"/>
                <w:iCs w:val="0"/>
                <w:lang w:val="ka-GE"/>
              </w:rPr>
              <w:t>საბაზისო</w:t>
            </w:r>
            <w:r w:rsidRPr="00F23CB8">
              <w:rPr>
                <w:rFonts w:cstheme="minorHAnsi"/>
                <w:i w:val="0"/>
                <w:iCs w:val="0"/>
                <w:lang w:val="ka-GE"/>
              </w:rPr>
              <w:t xml:space="preserve"> </w:t>
            </w:r>
            <w:r w:rsidRPr="00F23CB8">
              <w:rPr>
                <w:rFonts w:ascii="Sylfaen" w:hAnsi="Sylfaen" w:cs="Sylfaen"/>
                <w:i w:val="0"/>
                <w:iCs w:val="0"/>
                <w:lang w:val="ka-GE"/>
              </w:rPr>
              <w:t>სცენარის</w:t>
            </w:r>
            <w:r w:rsidRPr="00F23CB8">
              <w:rPr>
                <w:rFonts w:cstheme="minorHAnsi"/>
                <w:i w:val="0"/>
                <w:iCs w:val="0"/>
                <w:lang w:val="ka-GE"/>
              </w:rPr>
              <w:t xml:space="preserve"> </w:t>
            </w:r>
            <w:r w:rsidRPr="00F23CB8">
              <w:rPr>
                <w:rFonts w:ascii="Sylfaen" w:hAnsi="Sylfaen" w:cs="Sylfaen"/>
                <w:i w:val="0"/>
                <w:iCs w:val="0"/>
                <w:lang w:val="ka-GE"/>
              </w:rPr>
              <w:t>მიხედვით</w:t>
            </w:r>
          </w:p>
        </w:tc>
      </w:tr>
      <w:tr w:rsidR="00FD5F36" w:rsidTr="00DD32A0">
        <w:tc>
          <w:tcPr>
            <w:tcW w:w="5213" w:type="dxa"/>
          </w:tcPr>
          <w:p w:rsidR="00FD5F36" w:rsidRDefault="00FD5F36" w:rsidP="00370703">
            <w:pPr>
              <w:spacing w:line="276" w:lineRule="auto"/>
              <w:jc w:val="both"/>
              <w:rPr>
                <w:rFonts w:ascii="Sylfaen" w:hAnsi="Sylfaen" w:cs="Segoe UI"/>
                <w:sz w:val="20"/>
                <w:szCs w:val="20"/>
                <w:lang w:val="ka-GE"/>
              </w:rPr>
            </w:pPr>
            <w:r>
              <w:rPr>
                <w:noProof/>
              </w:rPr>
              <w:drawing>
                <wp:inline distT="0" distB="0" distL="0" distR="0" wp14:anchorId="4A32FBFE" wp14:editId="20FA0F00">
                  <wp:extent cx="3181350" cy="2910205"/>
                  <wp:effectExtent l="0" t="0" r="0" b="4445"/>
                  <wp:docPr id="11" name="Chart 1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214" w:type="dxa"/>
          </w:tcPr>
          <w:p w:rsidR="00FD5F36" w:rsidRDefault="00FD5F36" w:rsidP="00370703">
            <w:pPr>
              <w:spacing w:line="276" w:lineRule="auto"/>
              <w:jc w:val="both"/>
              <w:rPr>
                <w:rFonts w:ascii="Sylfaen" w:hAnsi="Sylfaen" w:cs="Segoe UI"/>
                <w:sz w:val="20"/>
                <w:szCs w:val="20"/>
                <w:lang w:val="ka-GE"/>
              </w:rPr>
            </w:pPr>
            <w:r>
              <w:rPr>
                <w:noProof/>
              </w:rPr>
              <w:drawing>
                <wp:inline distT="0" distB="0" distL="0" distR="0" wp14:anchorId="341E30AB" wp14:editId="053DD668">
                  <wp:extent cx="3200400" cy="2910205"/>
                  <wp:effectExtent l="0" t="0" r="0" b="4445"/>
                  <wp:docPr id="16" name="Chart 16">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DD32A0" w:rsidTr="00DD32A0">
        <w:tc>
          <w:tcPr>
            <w:tcW w:w="5213" w:type="dxa"/>
          </w:tcPr>
          <w:p w:rsidR="00DD32A0" w:rsidRDefault="00DD32A0" w:rsidP="00370703">
            <w:pPr>
              <w:spacing w:line="276" w:lineRule="auto"/>
              <w:jc w:val="both"/>
              <w:rPr>
                <w:noProof/>
              </w:rPr>
            </w:pPr>
            <w:r>
              <w:rPr>
                <w:noProof/>
              </w:rPr>
              <w:drawing>
                <wp:inline distT="0" distB="0" distL="0" distR="0" wp14:anchorId="305715CB" wp14:editId="17EBE790">
                  <wp:extent cx="3196166" cy="2751667"/>
                  <wp:effectExtent l="0" t="0" r="4445" b="0"/>
                  <wp:docPr id="17" name="Chart 17">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214" w:type="dxa"/>
          </w:tcPr>
          <w:p w:rsidR="00DD32A0" w:rsidRDefault="00DD32A0" w:rsidP="00370703">
            <w:pPr>
              <w:spacing w:line="276" w:lineRule="auto"/>
              <w:jc w:val="both"/>
              <w:rPr>
                <w:noProof/>
              </w:rPr>
            </w:pPr>
            <w:r>
              <w:rPr>
                <w:noProof/>
              </w:rPr>
              <w:drawing>
                <wp:inline distT="0" distB="0" distL="0" distR="0" wp14:anchorId="501F387B" wp14:editId="58C6B73A">
                  <wp:extent cx="3259667" cy="2719917"/>
                  <wp:effectExtent l="0" t="0" r="0" b="4445"/>
                  <wp:docPr id="18" name="Chart 18">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2251EA" w:rsidRDefault="002251EA" w:rsidP="00370703">
      <w:pPr>
        <w:spacing w:line="276" w:lineRule="auto"/>
        <w:ind w:firstLine="540"/>
        <w:jc w:val="both"/>
        <w:rPr>
          <w:rFonts w:ascii="Sylfaen" w:hAnsi="Sylfaen" w:cs="Segoe UI"/>
          <w:sz w:val="20"/>
          <w:szCs w:val="20"/>
          <w:lang w:val="ka-GE"/>
        </w:rPr>
      </w:pPr>
    </w:p>
    <w:p w:rsidR="00D1750B" w:rsidRDefault="006A04A6" w:rsidP="00D1750B">
      <w:pPr>
        <w:rPr>
          <w:rFonts w:ascii="Sylfaen" w:hAnsi="Sylfaen"/>
          <w:lang w:val="ka-GE"/>
        </w:rPr>
      </w:pPr>
      <w:r>
        <w:t xml:space="preserve">4.2 </w:t>
      </w:r>
      <w:r w:rsidR="00194344" w:rsidRPr="006A04A6">
        <w:rPr>
          <w:rFonts w:ascii="Sylfaen" w:hAnsi="Sylfaen" w:cs="Sylfaen"/>
        </w:rPr>
        <w:t>ნეგატიური</w:t>
      </w:r>
      <w:r w:rsidR="00194344" w:rsidRPr="006A04A6">
        <w:t xml:space="preserve"> </w:t>
      </w:r>
      <w:r w:rsidR="00194344" w:rsidRPr="006A04A6">
        <w:rPr>
          <w:rFonts w:ascii="Sylfaen" w:hAnsi="Sylfaen" w:cs="Sylfaen"/>
        </w:rPr>
        <w:t>სცენარი</w:t>
      </w:r>
      <w:r w:rsidR="000614BE">
        <w:rPr>
          <w:noProof/>
        </w:rPr>
        <w:drawing>
          <wp:anchor distT="0" distB="0" distL="114300" distR="114300" simplePos="0" relativeHeight="251714560" behindDoc="0" locked="0" layoutInCell="1" allowOverlap="1" wp14:anchorId="5A6FFF2A" wp14:editId="159CD8F5">
            <wp:simplePos x="0" y="0"/>
            <wp:positionH relativeFrom="column">
              <wp:posOffset>82853</wp:posOffset>
            </wp:positionH>
            <wp:positionV relativeFrom="paragraph">
              <wp:posOffset>1321833</wp:posOffset>
            </wp:positionV>
            <wp:extent cx="3200400" cy="1964690"/>
            <wp:effectExtent l="0" t="0" r="0" b="0"/>
            <wp:wrapTopAndBottom/>
            <wp:docPr id="315" name="Chart 315">
              <a:extLst xmlns:a="http://schemas.openxmlformats.org/drawingml/2006/main">
                <a:ext uri="{FF2B5EF4-FFF2-40B4-BE49-F238E27FC236}">
                  <a16:creationId xmlns:a16="http://schemas.microsoft.com/office/drawing/2014/main" id="{978F81DC-A822-4A91-9ADA-14F02B9AA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0614BE" w:rsidRPr="003B5120">
        <w:rPr>
          <w:rFonts w:ascii="Calibri" w:eastAsia="Calibri" w:hAnsi="Calibri" w:cs="Times New Roman"/>
          <w:noProof/>
        </w:rPr>
        <mc:AlternateContent>
          <mc:Choice Requires="wps">
            <w:drawing>
              <wp:anchor distT="0" distB="0" distL="114300" distR="114300" simplePos="0" relativeHeight="251712512" behindDoc="0" locked="0" layoutInCell="1" allowOverlap="1" wp14:anchorId="3D3BFBA8" wp14:editId="41322EE7">
                <wp:simplePos x="0" y="0"/>
                <wp:positionH relativeFrom="column">
                  <wp:posOffset>93715</wp:posOffset>
                </wp:positionH>
                <wp:positionV relativeFrom="paragraph">
                  <wp:posOffset>1097561</wp:posOffset>
                </wp:positionV>
                <wp:extent cx="3197860" cy="230886"/>
                <wp:effectExtent l="0" t="0" r="2540" b="0"/>
                <wp:wrapTopAndBottom/>
                <wp:docPr id="274" name="Text Box 274"/>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04274A" w:rsidRPr="00F23CB8" w:rsidRDefault="0004274A"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ascii="Sylfaen" w:hAnsi="Sylfaen"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F23CB8" w:rsidRDefault="0004274A"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F23CB8" w:rsidRDefault="0004274A"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F23CB8" w:rsidRDefault="0004274A"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F23CB8" w:rsidRDefault="0004274A"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F23CB8" w:rsidRDefault="0004274A"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F23CB8" w:rsidRDefault="0004274A"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F23CB8" w:rsidRDefault="0004274A"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BFBA8" id="Text Box 274" o:spid="_x0000_s1036" type="#_x0000_t202" style="position:absolute;margin-left:7.4pt;margin-top:86.4pt;width:251.8pt;height:1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" stroked="f">
                <v:textbox inset="0,0,0,0">
                  <w:txbxContent>
                    <w:p w:rsidR="0004274A" w:rsidRPr="00F23CB8" w:rsidRDefault="0004274A"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ascii="Sylfaen" w:hAnsi="Sylfaen"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F23CB8" w:rsidRDefault="0004274A"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F23CB8" w:rsidRDefault="0004274A"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F23CB8" w:rsidRDefault="0004274A"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F23CB8" w:rsidRDefault="0004274A"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F23CB8" w:rsidRDefault="0004274A"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F23CB8" w:rsidRDefault="0004274A"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F23CB8" w:rsidRDefault="0004274A" w:rsidP="000614BE">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614BE"/>
                    <w:p w:rsidR="0004274A" w:rsidRPr="003B5120" w:rsidRDefault="0004274A" w:rsidP="000614BE">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D1750B">
        <w:rPr>
          <w:rFonts w:ascii="Sylfaen" w:hAnsi="Sylfaen"/>
          <w:lang w:val="ka-GE"/>
        </w:rPr>
        <w:t xml:space="preserve"> </w:t>
      </w:r>
      <w:r w:rsidR="00D1750B">
        <w:rPr>
          <w:rFonts w:ascii="Sylfaen" w:hAnsi="Sylfaen"/>
          <w:lang w:val="ka-GE"/>
        </w:rPr>
        <w:br/>
      </w:r>
    </w:p>
    <w:p w:rsidR="00194344" w:rsidRPr="00D1750B" w:rsidRDefault="00D1750B" w:rsidP="0002511E">
      <w:pPr>
        <w:jc w:val="both"/>
        <w:rPr>
          <w:lang w:val="ka-GE"/>
        </w:rPr>
      </w:pPr>
      <w:r>
        <w:rPr>
          <w:rFonts w:ascii="Sylfaen" w:hAnsi="Sylfaen" w:cs="Segoe UI"/>
          <w:sz w:val="20"/>
          <w:szCs w:val="20"/>
          <w:lang w:val="ka-GE"/>
        </w:rPr>
        <w:t xml:space="preserve">ნეგატიური </w:t>
      </w:r>
      <w:r w:rsidR="00194344" w:rsidRPr="00194344">
        <w:rPr>
          <w:rFonts w:ascii="Sylfaen" w:hAnsi="Sylfaen" w:cs="Segoe UI"/>
          <w:sz w:val="20"/>
          <w:szCs w:val="20"/>
          <w:lang w:val="ka-GE"/>
        </w:rPr>
        <w:t>სცენარი გულისხმობს რისკების მაღალი მასშტაბით/ალბათობით რეალიზებას. ეს განსაკუთრებით ეხება გეოპოლიტიკურ რისკებს</w:t>
      </w:r>
      <w:r w:rsidR="00477AF8">
        <w:rPr>
          <w:rFonts w:ascii="Sylfaen" w:hAnsi="Sylfaen" w:cs="Segoe UI"/>
          <w:sz w:val="20"/>
          <w:szCs w:val="20"/>
          <w:lang w:val="ka-GE"/>
        </w:rPr>
        <w:t>.</w:t>
      </w:r>
      <w:r w:rsidR="00194344" w:rsidRPr="00194344">
        <w:rPr>
          <w:rFonts w:ascii="Sylfaen" w:hAnsi="Sylfaen" w:cs="Segoe UI"/>
          <w:sz w:val="20"/>
          <w:szCs w:val="20"/>
          <w:lang w:val="ka-GE"/>
        </w:rPr>
        <w:t xml:space="preserve"> 2020 წელს ეპიდემოილოგიური მდგომარეობის დრამატული გაუარესება მოსალოდნელი არ არის და ეკონომიკური კლება </w:t>
      </w:r>
      <w:r w:rsidR="00194344" w:rsidRPr="00194344">
        <w:rPr>
          <w:rFonts w:ascii="Sylfaen" w:hAnsi="Sylfaen" w:cs="Segoe UI"/>
          <w:sz w:val="20"/>
          <w:szCs w:val="20"/>
        </w:rPr>
        <w:t>5</w:t>
      </w:r>
      <w:r w:rsidR="00194344" w:rsidRPr="00194344">
        <w:rPr>
          <w:rFonts w:ascii="Sylfaen" w:hAnsi="Sylfaen" w:cs="Segoe UI"/>
          <w:sz w:val="20"/>
          <w:szCs w:val="20"/>
          <w:lang w:val="ka-GE"/>
        </w:rPr>
        <w:t>.</w:t>
      </w:r>
      <w:r w:rsidR="00194344" w:rsidRPr="00194344">
        <w:rPr>
          <w:rFonts w:ascii="Sylfaen" w:hAnsi="Sylfaen" w:cs="Segoe UI"/>
          <w:sz w:val="20"/>
          <w:szCs w:val="20"/>
        </w:rPr>
        <w:t>7</w:t>
      </w:r>
      <w:r w:rsidR="00194344" w:rsidRPr="00194344">
        <w:rPr>
          <w:rFonts w:ascii="Sylfaen" w:hAnsi="Sylfaen" w:cs="Segoe UI"/>
          <w:sz w:val="20"/>
          <w:szCs w:val="20"/>
          <w:lang w:val="ka-GE"/>
        </w:rPr>
        <w:t xml:space="preserve"> პროცენტის დონეზეა პროგნოზირებული. გაცილებით პრობლემურია საშუალოვადიანი პერიოდი, როდესაც 2021-2023 წლებში ეკონომიკა საშუალოდ 3 პროცენტით იზრდება.</w:t>
      </w:r>
      <w:r w:rsidR="00D920D4">
        <w:rPr>
          <w:rFonts w:ascii="Sylfaen" w:hAnsi="Sylfaen" w:cs="Segoe UI"/>
          <w:sz w:val="20"/>
          <w:szCs w:val="20"/>
          <w:lang w:val="ka-GE"/>
        </w:rPr>
        <w:t xml:space="preserve"> </w:t>
      </w:r>
    </w:p>
    <w:p w:rsidR="000614BE" w:rsidRDefault="000614BE" w:rsidP="00D920D4">
      <w:pPr>
        <w:spacing w:after="0" w:line="276" w:lineRule="auto"/>
        <w:ind w:firstLine="540"/>
        <w:jc w:val="both"/>
        <w:rPr>
          <w:rFonts w:ascii="Sylfaen" w:hAnsi="Sylfaen" w:cs="Segoe UI"/>
          <w:sz w:val="20"/>
          <w:szCs w:val="20"/>
          <w:lang w:val="ka-GE"/>
        </w:rPr>
      </w:pPr>
    </w:p>
    <w:p w:rsidR="00D920D4" w:rsidRPr="00194344" w:rsidRDefault="00D920D4" w:rsidP="00D920D4">
      <w:pPr>
        <w:spacing w:after="0" w:line="276" w:lineRule="auto"/>
        <w:ind w:firstLine="540"/>
        <w:jc w:val="both"/>
        <w:rPr>
          <w:rFonts w:ascii="Sylfaen" w:hAnsi="Sylfaen" w:cs="Segoe UI"/>
          <w:sz w:val="20"/>
          <w:szCs w:val="20"/>
          <w:lang w:val="ka-GE"/>
        </w:rPr>
      </w:pPr>
    </w:p>
    <w:p w:rsidR="00194344" w:rsidRPr="006A04A6" w:rsidRDefault="00935545" w:rsidP="006A04A6">
      <w:pPr>
        <w:pStyle w:val="Heading2"/>
        <w:rPr>
          <w:lang w:val="en-US"/>
        </w:rPr>
      </w:pPr>
      <w:r>
        <w:t>5.2</w:t>
      </w:r>
      <w:r w:rsidR="006A04A6">
        <w:rPr>
          <w:lang w:val="en-US"/>
        </w:rPr>
        <w:t xml:space="preserve"> </w:t>
      </w:r>
      <w:r w:rsidR="00194344" w:rsidRPr="006A04A6">
        <w:rPr>
          <w:lang w:val="en-US"/>
        </w:rPr>
        <w:t>პოზიტიური სცენარი</w:t>
      </w:r>
    </w:p>
    <w:p w:rsidR="00194344" w:rsidRDefault="00030183" w:rsidP="00D920D4">
      <w:pPr>
        <w:spacing w:after="0" w:line="276" w:lineRule="auto"/>
        <w:ind w:firstLine="540"/>
        <w:jc w:val="both"/>
        <w:rPr>
          <w:rFonts w:ascii="Sylfaen" w:hAnsi="Sylfaen" w:cs="Segoe UI"/>
          <w:sz w:val="20"/>
          <w:szCs w:val="20"/>
          <w:lang w:val="ka-GE"/>
        </w:rPr>
      </w:pPr>
      <w:r>
        <w:rPr>
          <w:noProof/>
        </w:rPr>
        <w:drawing>
          <wp:anchor distT="0" distB="0" distL="114300" distR="114300" simplePos="0" relativeHeight="251718656" behindDoc="0" locked="0" layoutInCell="1" allowOverlap="1" wp14:anchorId="3D3E29B6" wp14:editId="14D30423">
            <wp:simplePos x="0" y="0"/>
            <wp:positionH relativeFrom="column">
              <wp:posOffset>104642</wp:posOffset>
            </wp:positionH>
            <wp:positionV relativeFrom="paragraph">
              <wp:posOffset>1292816</wp:posOffset>
            </wp:positionV>
            <wp:extent cx="3200400" cy="2165985"/>
            <wp:effectExtent l="0" t="0" r="0" b="5715"/>
            <wp:wrapTopAndBottom/>
            <wp:docPr id="316" name="Chart 316">
              <a:extLst xmlns:a="http://schemas.openxmlformats.org/drawingml/2006/main">
                <a:ext uri="{FF2B5EF4-FFF2-40B4-BE49-F238E27FC236}">
                  <a16:creationId xmlns:a16="http://schemas.microsoft.com/office/drawing/2014/main" id="{04DF506F-9FA5-4B2E-8693-EEBC9A6D18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3B5120">
        <w:rPr>
          <w:rFonts w:ascii="Calibri" w:eastAsia="Calibri" w:hAnsi="Calibri" w:cs="Times New Roman"/>
          <w:noProof/>
        </w:rPr>
        <mc:AlternateContent>
          <mc:Choice Requires="wps">
            <w:drawing>
              <wp:anchor distT="0" distB="0" distL="114300" distR="114300" simplePos="0" relativeHeight="251716608" behindDoc="0" locked="0" layoutInCell="1" allowOverlap="1" wp14:anchorId="7E525E18" wp14:editId="38F0C571">
                <wp:simplePos x="0" y="0"/>
                <wp:positionH relativeFrom="column">
                  <wp:posOffset>93714</wp:posOffset>
                </wp:positionH>
                <wp:positionV relativeFrom="paragraph">
                  <wp:posOffset>1065604</wp:posOffset>
                </wp:positionV>
                <wp:extent cx="3197860" cy="230886"/>
                <wp:effectExtent l="0" t="0" r="2540" b="0"/>
                <wp:wrapTopAndBottom/>
                <wp:docPr id="12" name="Text Box 1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25E18" id="Text Box 12" o:spid="_x0000_s1037" type="#_x0000_t202" style="position:absolute;left:0;text-align:left;margin-left:7.4pt;margin-top:83.9pt;width:251.8pt;height:1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" stroked="f">
                <v:textbox inset="0,0,0,0">
                  <w:txbxContent>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D1750B">
        <w:rPr>
          <w:rFonts w:ascii="Sylfaen" w:hAnsi="Sylfaen" w:cs="Segoe UI"/>
          <w:sz w:val="20"/>
          <w:szCs w:val="20"/>
          <w:lang w:val="ka-GE"/>
        </w:rPr>
        <w:t xml:space="preserve">პოზიტიური </w:t>
      </w:r>
      <w:r w:rsidR="00194344" w:rsidRPr="00194344">
        <w:rPr>
          <w:rFonts w:ascii="Sylfaen" w:hAnsi="Sylfaen" w:cs="Segoe UI"/>
          <w:sz w:val="20"/>
          <w:szCs w:val="20"/>
          <w:lang w:val="ka-GE"/>
        </w:rPr>
        <w:t>სცენარის მიხედვით, მე</w:t>
      </w:r>
      <w:r w:rsidR="00935545">
        <w:rPr>
          <w:rFonts w:ascii="Sylfaen" w:hAnsi="Sylfaen" w:cs="Segoe UI"/>
          <w:sz w:val="20"/>
          <w:szCs w:val="20"/>
          <w:lang w:val="ka-GE"/>
        </w:rPr>
        <w:t>ოთხე</w:t>
      </w:r>
      <w:r w:rsidR="00194344" w:rsidRPr="00194344">
        <w:rPr>
          <w:rFonts w:ascii="Sylfaen" w:hAnsi="Sylfaen" w:cs="Segoe UI"/>
          <w:sz w:val="20"/>
          <w:szCs w:val="20"/>
          <w:lang w:val="ka-GE"/>
        </w:rPr>
        <w:t xml:space="preserve"> თავში აღნიშნული გეოპოლიტიკური და რეგიონალური რისკები დამატებით არ მატერიალიზდება. თუმცა, გაზრდილი გლობალური ვალის და მომხმარებელთა ქცევის როსკების რეალიზებას შედარებით შესუსტებული სიდიდით. ასეთ სცენარში 2020 წელს ეკონმიკური კლება 4.7 პროცენტს შეადგენს, 2021-2023 წლებში საშუალოდ 7 პროცენტს ხოლო 2024 წლიდან სტაბილურდება 5 პროცენტის ფარგლებში. სცენარში გამორიცხულია რისკების ფინანსურ სექტორზე გავრცელება.</w:t>
      </w:r>
    </w:p>
    <w:p w:rsidR="006A04A6" w:rsidRDefault="006A04A6" w:rsidP="00194344">
      <w:pPr>
        <w:spacing w:after="0" w:line="276" w:lineRule="auto"/>
        <w:jc w:val="both"/>
        <w:rPr>
          <w:rFonts w:ascii="Sylfaen" w:hAnsi="Sylfaen" w:cs="Segoe UI"/>
          <w:sz w:val="20"/>
          <w:szCs w:val="20"/>
          <w:lang w:val="ka-GE"/>
        </w:rPr>
      </w:pPr>
    </w:p>
    <w:p w:rsidR="00D920D4" w:rsidRPr="00194344" w:rsidRDefault="00D920D4" w:rsidP="00194344">
      <w:pPr>
        <w:spacing w:after="0" w:line="276" w:lineRule="auto"/>
        <w:jc w:val="both"/>
        <w:rPr>
          <w:rFonts w:ascii="Sylfaen" w:hAnsi="Sylfaen" w:cs="Segoe UI"/>
          <w:sz w:val="20"/>
          <w:szCs w:val="20"/>
          <w:lang w:val="ka-GE"/>
        </w:rPr>
      </w:pPr>
    </w:p>
    <w:p w:rsidR="00194344" w:rsidRPr="006A04A6" w:rsidRDefault="00194344" w:rsidP="006A04A6">
      <w:pPr>
        <w:pStyle w:val="Heading2"/>
        <w:rPr>
          <w:lang w:val="en-US"/>
        </w:rPr>
      </w:pPr>
      <w:r w:rsidRPr="006A04A6">
        <w:rPr>
          <w:lang w:val="en-US"/>
        </w:rPr>
        <w:t>ეკონომიკის აღდგენის პერსპექტივები სცენარების მიხედვით</w:t>
      </w:r>
    </w:p>
    <w:p w:rsidR="00194344" w:rsidRPr="00194344" w:rsidRDefault="00194344" w:rsidP="00D920D4">
      <w:pPr>
        <w:spacing w:after="0" w:line="276" w:lineRule="auto"/>
        <w:ind w:firstLine="540"/>
        <w:jc w:val="both"/>
        <w:rPr>
          <w:rFonts w:ascii="Sylfaen" w:hAnsi="Sylfaen" w:cs="Segoe UI"/>
          <w:sz w:val="20"/>
          <w:szCs w:val="20"/>
          <w:lang w:val="ka-GE"/>
        </w:rPr>
      </w:pPr>
      <w:r w:rsidRPr="00194344">
        <w:rPr>
          <w:rFonts w:ascii="Sylfaen" w:hAnsi="Sylfaen" w:cs="Segoe UI"/>
          <w:sz w:val="20"/>
          <w:szCs w:val="20"/>
          <w:lang w:val="ka-GE"/>
        </w:rPr>
        <w:t>საბაზისო სცენარში 2025 წლისათვის ეკონომიკა ახერხებს 2020 წლის დანაკარგის მხოლოდ ერთი მესამედის კომპენსირებას. ამ პერიოდში ნულოვან სცენართან შედარებით ეკონომიკა 6.0 პროცენტით ჩამორჩება. უნდა აღინიშნოს, რომ დანაკარგის სრულად კოპმენსირება ვერ ხერხდება ვერც პოზიტიურ სცენარში - აღდგება დანაკარგის მხოლოდ 90 პროცენტი და ნულოვან სცენარს ეკონომიკა ჩამორჩება 0.8 პროცენტით. აღნიშნული ჩამორჩენის მთავარი მიზეზებია:</w:t>
      </w:r>
    </w:p>
    <w:p w:rsidR="00194344" w:rsidRPr="00194344" w:rsidRDefault="00194344" w:rsidP="00194344">
      <w:pPr>
        <w:pStyle w:val="ListParagraph"/>
        <w:numPr>
          <w:ilvl w:val="0"/>
          <w:numId w:val="19"/>
        </w:numPr>
        <w:spacing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გაუარესებული ბალანსშიტი;</w:t>
      </w:r>
    </w:p>
    <w:p w:rsidR="00194344" w:rsidRPr="00194344" w:rsidRDefault="00194344" w:rsidP="00194344">
      <w:pPr>
        <w:pStyle w:val="ListParagraph"/>
        <w:numPr>
          <w:ilvl w:val="0"/>
          <w:numId w:val="19"/>
        </w:numPr>
        <w:spacing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ტურიზმის გლობალური სენტიმენტები;</w:t>
      </w:r>
    </w:p>
    <w:p w:rsidR="00001F1A" w:rsidRDefault="00194344" w:rsidP="00001F1A">
      <w:pPr>
        <w:pStyle w:val="ListParagraph"/>
        <w:numPr>
          <w:ilvl w:val="0"/>
          <w:numId w:val="19"/>
        </w:numPr>
        <w:spacing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მომხმარებელთა შემცირებული სენტიმენტი;</w:t>
      </w:r>
    </w:p>
    <w:p w:rsidR="00EA0190" w:rsidRPr="00DD32A0" w:rsidRDefault="00A36820" w:rsidP="00EA0190">
      <w:pPr>
        <w:pStyle w:val="ListParagraph"/>
        <w:numPr>
          <w:ilvl w:val="0"/>
          <w:numId w:val="19"/>
        </w:numPr>
        <w:spacing w:after="0" w:line="276" w:lineRule="auto"/>
        <w:ind w:left="360" w:hanging="180"/>
        <w:jc w:val="both"/>
        <w:rPr>
          <w:rFonts w:ascii="Sylfaen" w:hAnsi="Sylfaen" w:cs="Segoe UI"/>
          <w:sz w:val="20"/>
          <w:szCs w:val="20"/>
          <w:lang w:val="ka-GE"/>
        </w:rPr>
      </w:pPr>
      <w:r>
        <w:rPr>
          <w:noProof/>
        </w:rPr>
        <w:drawing>
          <wp:anchor distT="0" distB="0" distL="114300" distR="114300" simplePos="0" relativeHeight="251722752" behindDoc="0" locked="0" layoutInCell="1" allowOverlap="1" wp14:anchorId="07D34A4F" wp14:editId="4FD66C66">
            <wp:simplePos x="0" y="0"/>
            <wp:positionH relativeFrom="column">
              <wp:posOffset>-109220</wp:posOffset>
            </wp:positionH>
            <wp:positionV relativeFrom="paragraph">
              <wp:posOffset>489585</wp:posOffset>
            </wp:positionV>
            <wp:extent cx="3200400" cy="2589530"/>
            <wp:effectExtent l="0" t="0" r="0" b="1270"/>
            <wp:wrapTopAndBottom/>
            <wp:docPr id="317" name="Chart 317">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3B5120">
        <w:rPr>
          <w:rFonts w:ascii="Calibri" w:eastAsia="Calibri" w:hAnsi="Calibri" w:cs="Times New Roman"/>
          <w:noProof/>
        </w:rPr>
        <mc:AlternateContent>
          <mc:Choice Requires="wps">
            <w:drawing>
              <wp:anchor distT="0" distB="0" distL="114300" distR="114300" simplePos="0" relativeHeight="251720704" behindDoc="0" locked="0" layoutInCell="1" allowOverlap="1" wp14:anchorId="70096BA1" wp14:editId="3472F2E1">
                <wp:simplePos x="0" y="0"/>
                <wp:positionH relativeFrom="column">
                  <wp:posOffset>-1905</wp:posOffset>
                </wp:positionH>
                <wp:positionV relativeFrom="paragraph">
                  <wp:posOffset>256540</wp:posOffset>
                </wp:positionV>
                <wp:extent cx="3197860" cy="230886"/>
                <wp:effectExtent l="0" t="0" r="2540" b="0"/>
                <wp:wrapTopAndBottom/>
                <wp:docPr id="22" name="Text Box 2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96BA1" id="Text Box 22" o:spid="_x0000_s1038" type="#_x0000_t202" style="position:absolute;left:0;text-align:left;margin-left:-.15pt;margin-top:20.2pt;width:251.8pt;height:18.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" stroked="f">
                <v:textbox inset="0,0,0,0">
                  <w:txbxContent>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F23CB8" w:rsidRDefault="0004274A" w:rsidP="00030183">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04274A" w:rsidRDefault="0004274A" w:rsidP="00030183"/>
                    <w:p w:rsidR="0004274A" w:rsidRPr="003B5120" w:rsidRDefault="0004274A" w:rsidP="00030183">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194344" w:rsidRPr="00001F1A">
        <w:rPr>
          <w:rFonts w:ascii="Sylfaen" w:hAnsi="Sylfaen" w:cs="Segoe UI"/>
          <w:sz w:val="20"/>
          <w:szCs w:val="20"/>
          <w:lang w:val="ka-GE"/>
        </w:rPr>
        <w:t>ეკონომიკის დივერსიფიცირების დაბალი ხარისხი.</w:t>
      </w:r>
    </w:p>
    <w:sectPr w:rsidR="00EA0190" w:rsidRPr="00DD32A0" w:rsidSect="00CC0C7B">
      <w:headerReference w:type="default" r:id="rId20"/>
      <w:footerReference w:type="default" r:id="rId21"/>
      <w:footerReference w:type="first" r:id="rId22"/>
      <w:pgSz w:w="12240" w:h="15840"/>
      <w:pgMar w:top="1134" w:right="896" w:bottom="833" w:left="907" w:header="68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B99" w:rsidRDefault="00606B99" w:rsidP="00CF6E50">
      <w:pPr>
        <w:spacing w:after="0" w:line="240" w:lineRule="auto"/>
      </w:pPr>
      <w:r>
        <w:separator/>
      </w:r>
    </w:p>
  </w:endnote>
  <w:endnote w:type="continuationSeparator" w:id="0">
    <w:p w:rsidR="00606B99" w:rsidRDefault="00606B99" w:rsidP="00CF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PG Nino Mtavruli">
    <w:altName w:val="Sylfaen"/>
    <w:panose1 w:val="02000806000000020004"/>
    <w:charset w:val="00"/>
    <w:family w:val="auto"/>
    <w:pitch w:val="variable"/>
    <w:sig w:usb0="84000027" w:usb1="1000004A"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23131"/>
      <w:docPartObj>
        <w:docPartGallery w:val="Page Numbers (Bottom of Page)"/>
        <w:docPartUnique/>
      </w:docPartObj>
    </w:sdtPr>
    <w:sdtEndPr>
      <w:rPr>
        <w:noProof/>
      </w:rPr>
    </w:sdtEndPr>
    <w:sdtContent>
      <w:p w:rsidR="0004274A" w:rsidRDefault="0004274A">
        <w:pPr>
          <w:pStyle w:val="Footer"/>
          <w:jc w:val="right"/>
        </w:pPr>
        <w:r>
          <w:fldChar w:fldCharType="begin"/>
        </w:r>
        <w:r>
          <w:instrText xml:space="preserve"> PAGE   \* MERGEFORMAT </w:instrText>
        </w:r>
        <w:r>
          <w:fldChar w:fldCharType="separate"/>
        </w:r>
        <w:r w:rsidR="00477AF8">
          <w:rPr>
            <w:noProof/>
          </w:rPr>
          <w:t>11</w:t>
        </w:r>
        <w:r>
          <w:rPr>
            <w:noProof/>
          </w:rPr>
          <w:fldChar w:fldCharType="end"/>
        </w:r>
      </w:p>
    </w:sdtContent>
  </w:sdt>
  <w:p w:rsidR="0004274A" w:rsidRDefault="00042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4A" w:rsidRDefault="0004274A">
    <w:pPr>
      <w:pStyle w:val="Footer"/>
      <w:jc w:val="right"/>
    </w:pPr>
  </w:p>
  <w:p w:rsidR="0004274A" w:rsidRDefault="0004274A">
    <w:pPr>
      <w:pStyle w:val="Footer"/>
      <w:jc w:val="right"/>
    </w:pPr>
  </w:p>
  <w:p w:rsidR="0004274A" w:rsidRDefault="00042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B99" w:rsidRDefault="00606B99" w:rsidP="00CF6E50">
      <w:pPr>
        <w:spacing w:after="0" w:line="240" w:lineRule="auto"/>
      </w:pPr>
      <w:r>
        <w:separator/>
      </w:r>
    </w:p>
  </w:footnote>
  <w:footnote w:type="continuationSeparator" w:id="0">
    <w:p w:rsidR="00606B99" w:rsidRDefault="00606B99" w:rsidP="00CF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4A" w:rsidRDefault="0004274A">
    <w:pPr>
      <w:pStyle w:val="Header"/>
    </w:pPr>
    <w:r>
      <w:rPr>
        <w:noProof/>
      </w:rPr>
      <w:drawing>
        <wp:anchor distT="0" distB="0" distL="114300" distR="114300" simplePos="0" relativeHeight="251658240" behindDoc="0" locked="0" layoutInCell="1" allowOverlap="1" wp14:anchorId="2C7BFCF3" wp14:editId="2BA3B37F">
          <wp:simplePos x="0" y="0"/>
          <wp:positionH relativeFrom="column">
            <wp:posOffset>-108585</wp:posOffset>
          </wp:positionH>
          <wp:positionV relativeFrom="paragraph">
            <wp:posOffset>-415290</wp:posOffset>
          </wp:positionV>
          <wp:extent cx="1946275" cy="648335"/>
          <wp:effectExtent l="0" t="0" r="0" b="0"/>
          <wp:wrapThrough wrapText="bothSides">
            <wp:wrapPolygon edited="0">
              <wp:start x="2114" y="0"/>
              <wp:lineTo x="846" y="2539"/>
              <wp:lineTo x="0" y="6981"/>
              <wp:lineTo x="0" y="15232"/>
              <wp:lineTo x="1691" y="20310"/>
              <wp:lineTo x="2326" y="20944"/>
              <wp:lineTo x="5285" y="20944"/>
              <wp:lineTo x="21353" y="10789"/>
              <wp:lineTo x="21353" y="6347"/>
              <wp:lineTo x="5497"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1">
                    <a:extLst>
                      <a:ext uri="{28A0092B-C50C-407E-A947-70E740481C1C}">
                        <a14:useLocalDpi xmlns:a14="http://schemas.microsoft.com/office/drawing/2010/main" val="0"/>
                      </a:ext>
                    </a:extLst>
                  </a:blip>
                  <a:stretch>
                    <a:fillRect/>
                  </a:stretch>
                </pic:blipFill>
                <pic:spPr>
                  <a:xfrm>
                    <a:off x="0" y="0"/>
                    <a:ext cx="1946275"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549"/>
    <w:multiLevelType w:val="hybridMultilevel"/>
    <w:tmpl w:val="CE7A9EB4"/>
    <w:lvl w:ilvl="0" w:tplc="04090003">
      <w:start w:val="1"/>
      <w:numFmt w:val="bullet"/>
      <w:lvlText w:val="o"/>
      <w:lvlJc w:val="left"/>
      <w:pPr>
        <w:ind w:left="1440" w:hanging="360"/>
      </w:pPr>
      <w:rPr>
        <w:rFonts w:ascii="Courier New" w:hAnsi="Courier New" w:cs="Courier New" w:hint="default"/>
      </w:rPr>
    </w:lvl>
    <w:lvl w:ilvl="1" w:tplc="C8563102">
      <w:numFmt w:val="bullet"/>
      <w:lvlText w:val=""/>
      <w:lvlJc w:val="left"/>
      <w:pPr>
        <w:ind w:left="2535" w:hanging="735"/>
      </w:pPr>
      <w:rPr>
        <w:rFonts w:ascii="Symbol" w:eastAsiaTheme="minorHAnsi" w:hAnsi="Symbol" w:cs="Segoe U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7C03"/>
    <w:multiLevelType w:val="hybridMultilevel"/>
    <w:tmpl w:val="BABE9E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B5150AB"/>
    <w:multiLevelType w:val="hybridMultilevel"/>
    <w:tmpl w:val="9982BDEE"/>
    <w:lvl w:ilvl="0" w:tplc="E3108CAC">
      <w:start w:val="1"/>
      <w:numFmt w:val="decimal"/>
      <w:lvlText w:val="%1."/>
      <w:lvlJc w:val="left"/>
      <w:pPr>
        <w:ind w:left="360" w:hanging="360"/>
      </w:pPr>
      <w:rPr>
        <w:rFonts w:ascii="Sylfaen" w:eastAsiaTheme="minorHAnsi" w:hAnsi="Sylfaen"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E0892"/>
    <w:multiLevelType w:val="hybridMultilevel"/>
    <w:tmpl w:val="465E1A66"/>
    <w:lvl w:ilvl="0" w:tplc="882809C6">
      <w:numFmt w:val="bullet"/>
      <w:lvlText w:val="•"/>
      <w:lvlJc w:val="left"/>
      <w:pPr>
        <w:ind w:left="480" w:hanging="360"/>
      </w:pPr>
      <w:rPr>
        <w:rFonts w:ascii="Segoe UI" w:eastAsiaTheme="minorHAnsi" w:hAnsi="Segoe UI" w:cs="Segoe U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0D8B4787"/>
    <w:multiLevelType w:val="hybridMultilevel"/>
    <w:tmpl w:val="974018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56225"/>
    <w:multiLevelType w:val="hybridMultilevel"/>
    <w:tmpl w:val="85A6A286"/>
    <w:lvl w:ilvl="0" w:tplc="1A5A7212">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90007"/>
    <w:multiLevelType w:val="hybridMultilevel"/>
    <w:tmpl w:val="7C2AF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0446E"/>
    <w:multiLevelType w:val="hybridMultilevel"/>
    <w:tmpl w:val="A9081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DA5983"/>
    <w:multiLevelType w:val="hybridMultilevel"/>
    <w:tmpl w:val="5BA420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160DCC"/>
    <w:multiLevelType w:val="hybridMultilevel"/>
    <w:tmpl w:val="15E0B3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35AB7"/>
    <w:multiLevelType w:val="hybridMultilevel"/>
    <w:tmpl w:val="C680AB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A27BD3"/>
    <w:multiLevelType w:val="hybridMultilevel"/>
    <w:tmpl w:val="DC3C774A"/>
    <w:lvl w:ilvl="0" w:tplc="78B40E60">
      <w:start w:val="2"/>
      <w:numFmt w:val="decimal"/>
      <w:lvlText w:val="%1."/>
      <w:lvlJc w:val="left"/>
      <w:pPr>
        <w:ind w:left="360" w:hanging="360"/>
      </w:pPr>
      <w:rPr>
        <w:rFonts w:ascii="Sylfaen" w:hAnsi="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0A3FE0"/>
    <w:multiLevelType w:val="hybridMultilevel"/>
    <w:tmpl w:val="80E67EDA"/>
    <w:lvl w:ilvl="0" w:tplc="1A662658">
      <w:numFmt w:val="bullet"/>
      <w:lvlText w:val=""/>
      <w:lvlJc w:val="left"/>
      <w:pPr>
        <w:ind w:left="1230" w:hanging="51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DA7504"/>
    <w:multiLevelType w:val="hybridMultilevel"/>
    <w:tmpl w:val="385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97583"/>
    <w:multiLevelType w:val="hybridMultilevel"/>
    <w:tmpl w:val="E04AF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41A36"/>
    <w:multiLevelType w:val="hybridMultilevel"/>
    <w:tmpl w:val="749E2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5357C"/>
    <w:multiLevelType w:val="hybridMultilevel"/>
    <w:tmpl w:val="43D4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C164F"/>
    <w:multiLevelType w:val="hybridMultilevel"/>
    <w:tmpl w:val="221C00CA"/>
    <w:lvl w:ilvl="0" w:tplc="BFC6A748">
      <w:start w:val="2019"/>
      <w:numFmt w:val="bullet"/>
      <w:lvlText w:val="•"/>
      <w:lvlJc w:val="left"/>
      <w:pPr>
        <w:ind w:left="1080" w:hanging="720"/>
      </w:pPr>
      <w:rPr>
        <w:rFonts w:ascii="Segoe UI" w:eastAsiaTheme="minorHAnsi" w:hAnsi="Segoe UI" w:cs="Segoe U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762B4"/>
    <w:multiLevelType w:val="multilevel"/>
    <w:tmpl w:val="F8F69F4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19F13FC"/>
    <w:multiLevelType w:val="hybridMultilevel"/>
    <w:tmpl w:val="9DDE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D55E2"/>
    <w:multiLevelType w:val="hybridMultilevel"/>
    <w:tmpl w:val="964C8E46"/>
    <w:lvl w:ilvl="0" w:tplc="C62294E4">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7B285B"/>
    <w:multiLevelType w:val="hybridMultilevel"/>
    <w:tmpl w:val="B6706A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B21545"/>
    <w:multiLevelType w:val="hybridMultilevel"/>
    <w:tmpl w:val="57CA6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557AFB"/>
    <w:multiLevelType w:val="hybridMultilevel"/>
    <w:tmpl w:val="BA6E7C7A"/>
    <w:lvl w:ilvl="0" w:tplc="5476B314">
      <w:start w:val="2"/>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0F6A6E"/>
    <w:multiLevelType w:val="hybridMultilevel"/>
    <w:tmpl w:val="8974B3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5"/>
  </w:num>
  <w:num w:numId="3">
    <w:abstractNumId w:val="7"/>
  </w:num>
  <w:num w:numId="4">
    <w:abstractNumId w:val="18"/>
  </w:num>
  <w:num w:numId="5">
    <w:abstractNumId w:val="2"/>
  </w:num>
  <w:num w:numId="6">
    <w:abstractNumId w:val="23"/>
  </w:num>
  <w:num w:numId="7">
    <w:abstractNumId w:val="11"/>
  </w:num>
  <w:num w:numId="8">
    <w:abstractNumId w:val="22"/>
  </w:num>
  <w:num w:numId="9">
    <w:abstractNumId w:val="12"/>
  </w:num>
  <w:num w:numId="10">
    <w:abstractNumId w:val="4"/>
  </w:num>
  <w:num w:numId="11">
    <w:abstractNumId w:val="5"/>
  </w:num>
  <w:num w:numId="12">
    <w:abstractNumId w:val="0"/>
  </w:num>
  <w:num w:numId="13">
    <w:abstractNumId w:val="20"/>
  </w:num>
  <w:num w:numId="14">
    <w:abstractNumId w:val="21"/>
  </w:num>
  <w:num w:numId="15">
    <w:abstractNumId w:val="24"/>
  </w:num>
  <w:num w:numId="16">
    <w:abstractNumId w:val="10"/>
  </w:num>
  <w:num w:numId="17">
    <w:abstractNumId w:val="13"/>
  </w:num>
  <w:num w:numId="18">
    <w:abstractNumId w:val="6"/>
  </w:num>
  <w:num w:numId="19">
    <w:abstractNumId w:val="17"/>
  </w:num>
  <w:num w:numId="20">
    <w:abstractNumId w:val="16"/>
  </w:num>
  <w:num w:numId="21">
    <w:abstractNumId w:val="3"/>
  </w:num>
  <w:num w:numId="22">
    <w:abstractNumId w:val="14"/>
  </w:num>
  <w:num w:numId="23">
    <w:abstractNumId w:val="9"/>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78"/>
    <w:rsid w:val="00000442"/>
    <w:rsid w:val="000015C9"/>
    <w:rsid w:val="00001F1A"/>
    <w:rsid w:val="0002511E"/>
    <w:rsid w:val="00030183"/>
    <w:rsid w:val="0004274A"/>
    <w:rsid w:val="00052985"/>
    <w:rsid w:val="000537E8"/>
    <w:rsid w:val="000614BE"/>
    <w:rsid w:val="00063706"/>
    <w:rsid w:val="00077166"/>
    <w:rsid w:val="000A4D4A"/>
    <w:rsid w:val="000A655A"/>
    <w:rsid w:val="000B4EB7"/>
    <w:rsid w:val="000B5B7B"/>
    <w:rsid w:val="000B6C34"/>
    <w:rsid w:val="000B732B"/>
    <w:rsid w:val="000C47D6"/>
    <w:rsid w:val="000C491B"/>
    <w:rsid w:val="000E5971"/>
    <w:rsid w:val="000F0EE6"/>
    <w:rsid w:val="000F2641"/>
    <w:rsid w:val="000F2773"/>
    <w:rsid w:val="001235E3"/>
    <w:rsid w:val="00124E00"/>
    <w:rsid w:val="00130881"/>
    <w:rsid w:val="00131FBD"/>
    <w:rsid w:val="00136444"/>
    <w:rsid w:val="001428EE"/>
    <w:rsid w:val="0014592A"/>
    <w:rsid w:val="00166E5C"/>
    <w:rsid w:val="001701C5"/>
    <w:rsid w:val="001710C5"/>
    <w:rsid w:val="00194344"/>
    <w:rsid w:val="001A620E"/>
    <w:rsid w:val="001B0BC7"/>
    <w:rsid w:val="001B3C2F"/>
    <w:rsid w:val="001D471D"/>
    <w:rsid w:val="001E5B0A"/>
    <w:rsid w:val="00200F0D"/>
    <w:rsid w:val="00220221"/>
    <w:rsid w:val="002251EA"/>
    <w:rsid w:val="002314FA"/>
    <w:rsid w:val="0023365D"/>
    <w:rsid w:val="0023637E"/>
    <w:rsid w:val="00236979"/>
    <w:rsid w:val="002462AA"/>
    <w:rsid w:val="0025046C"/>
    <w:rsid w:val="002515EE"/>
    <w:rsid w:val="00266FC2"/>
    <w:rsid w:val="00283359"/>
    <w:rsid w:val="00283E23"/>
    <w:rsid w:val="00286FA6"/>
    <w:rsid w:val="00291494"/>
    <w:rsid w:val="002B0477"/>
    <w:rsid w:val="002B533F"/>
    <w:rsid w:val="002F46DB"/>
    <w:rsid w:val="00301A5B"/>
    <w:rsid w:val="0030260C"/>
    <w:rsid w:val="00311D76"/>
    <w:rsid w:val="00322276"/>
    <w:rsid w:val="003350DD"/>
    <w:rsid w:val="00342699"/>
    <w:rsid w:val="003517E4"/>
    <w:rsid w:val="00351D22"/>
    <w:rsid w:val="00370065"/>
    <w:rsid w:val="00370703"/>
    <w:rsid w:val="00374560"/>
    <w:rsid w:val="00385E6A"/>
    <w:rsid w:val="00386ED5"/>
    <w:rsid w:val="003A1B4F"/>
    <w:rsid w:val="003A6407"/>
    <w:rsid w:val="003B5120"/>
    <w:rsid w:val="003C4CA4"/>
    <w:rsid w:val="003D4330"/>
    <w:rsid w:val="003D648A"/>
    <w:rsid w:val="003F54AC"/>
    <w:rsid w:val="00401E4E"/>
    <w:rsid w:val="00402C9C"/>
    <w:rsid w:val="00405305"/>
    <w:rsid w:val="004175DD"/>
    <w:rsid w:val="00417878"/>
    <w:rsid w:val="004221DF"/>
    <w:rsid w:val="0042358B"/>
    <w:rsid w:val="004368AD"/>
    <w:rsid w:val="00445D2F"/>
    <w:rsid w:val="00446EAD"/>
    <w:rsid w:val="00454430"/>
    <w:rsid w:val="00456DB8"/>
    <w:rsid w:val="004579CC"/>
    <w:rsid w:val="00464D38"/>
    <w:rsid w:val="00465AF4"/>
    <w:rsid w:val="0046718B"/>
    <w:rsid w:val="00474D98"/>
    <w:rsid w:val="00475BD8"/>
    <w:rsid w:val="0047714D"/>
    <w:rsid w:val="00477AF8"/>
    <w:rsid w:val="004A7F97"/>
    <w:rsid w:val="004B26ED"/>
    <w:rsid w:val="004B6FE2"/>
    <w:rsid w:val="004D0355"/>
    <w:rsid w:val="004E665D"/>
    <w:rsid w:val="004F2FF8"/>
    <w:rsid w:val="0050180A"/>
    <w:rsid w:val="00503477"/>
    <w:rsid w:val="005074EE"/>
    <w:rsid w:val="00525598"/>
    <w:rsid w:val="00526F02"/>
    <w:rsid w:val="00531C8D"/>
    <w:rsid w:val="005320D0"/>
    <w:rsid w:val="0054193C"/>
    <w:rsid w:val="005430BA"/>
    <w:rsid w:val="0054437A"/>
    <w:rsid w:val="00562830"/>
    <w:rsid w:val="00563FF2"/>
    <w:rsid w:val="0057236C"/>
    <w:rsid w:val="00592DF7"/>
    <w:rsid w:val="005B7D6E"/>
    <w:rsid w:val="005C08C7"/>
    <w:rsid w:val="005C6654"/>
    <w:rsid w:val="005D4934"/>
    <w:rsid w:val="005E472D"/>
    <w:rsid w:val="00600021"/>
    <w:rsid w:val="00606B99"/>
    <w:rsid w:val="00614986"/>
    <w:rsid w:val="00620B86"/>
    <w:rsid w:val="006211C7"/>
    <w:rsid w:val="00627DEF"/>
    <w:rsid w:val="00655390"/>
    <w:rsid w:val="00657927"/>
    <w:rsid w:val="0066647C"/>
    <w:rsid w:val="00667D4A"/>
    <w:rsid w:val="0067152A"/>
    <w:rsid w:val="00674AEB"/>
    <w:rsid w:val="00676827"/>
    <w:rsid w:val="006835BA"/>
    <w:rsid w:val="00690744"/>
    <w:rsid w:val="006A04A6"/>
    <w:rsid w:val="006C10F6"/>
    <w:rsid w:val="006C5B1A"/>
    <w:rsid w:val="006E0C61"/>
    <w:rsid w:val="006E16D8"/>
    <w:rsid w:val="007046B2"/>
    <w:rsid w:val="007415FB"/>
    <w:rsid w:val="00742CD0"/>
    <w:rsid w:val="007440C0"/>
    <w:rsid w:val="0074672D"/>
    <w:rsid w:val="00752D5E"/>
    <w:rsid w:val="00761EC9"/>
    <w:rsid w:val="007A0D1D"/>
    <w:rsid w:val="007A22C6"/>
    <w:rsid w:val="007B49B9"/>
    <w:rsid w:val="007C4893"/>
    <w:rsid w:val="007D3FC0"/>
    <w:rsid w:val="007E66B6"/>
    <w:rsid w:val="007E6B28"/>
    <w:rsid w:val="007F3F47"/>
    <w:rsid w:val="00805936"/>
    <w:rsid w:val="00805D8D"/>
    <w:rsid w:val="00806A24"/>
    <w:rsid w:val="00810365"/>
    <w:rsid w:val="00833E61"/>
    <w:rsid w:val="00834597"/>
    <w:rsid w:val="008555E8"/>
    <w:rsid w:val="00862E39"/>
    <w:rsid w:val="00875F23"/>
    <w:rsid w:val="008854FC"/>
    <w:rsid w:val="008B756A"/>
    <w:rsid w:val="008C1454"/>
    <w:rsid w:val="008C6634"/>
    <w:rsid w:val="008D7997"/>
    <w:rsid w:val="008F0CBE"/>
    <w:rsid w:val="008F3BD3"/>
    <w:rsid w:val="008F5E38"/>
    <w:rsid w:val="00932578"/>
    <w:rsid w:val="00935545"/>
    <w:rsid w:val="0093558D"/>
    <w:rsid w:val="00945B6B"/>
    <w:rsid w:val="00954905"/>
    <w:rsid w:val="009708BE"/>
    <w:rsid w:val="00994C3C"/>
    <w:rsid w:val="009A31BB"/>
    <w:rsid w:val="009B0995"/>
    <w:rsid w:val="009B30D7"/>
    <w:rsid w:val="009C6005"/>
    <w:rsid w:val="009E5E03"/>
    <w:rsid w:val="009E6E7C"/>
    <w:rsid w:val="00A02540"/>
    <w:rsid w:val="00A123B9"/>
    <w:rsid w:val="00A14C5A"/>
    <w:rsid w:val="00A16130"/>
    <w:rsid w:val="00A172F9"/>
    <w:rsid w:val="00A35B99"/>
    <w:rsid w:val="00A36820"/>
    <w:rsid w:val="00A62C3D"/>
    <w:rsid w:val="00A90CBB"/>
    <w:rsid w:val="00A97359"/>
    <w:rsid w:val="00AB7B89"/>
    <w:rsid w:val="00AC704F"/>
    <w:rsid w:val="00AD6CFA"/>
    <w:rsid w:val="00AF038C"/>
    <w:rsid w:val="00AF2B97"/>
    <w:rsid w:val="00B207A3"/>
    <w:rsid w:val="00B51837"/>
    <w:rsid w:val="00B529C1"/>
    <w:rsid w:val="00B60C33"/>
    <w:rsid w:val="00B633EC"/>
    <w:rsid w:val="00B702F1"/>
    <w:rsid w:val="00B83CE9"/>
    <w:rsid w:val="00B850F3"/>
    <w:rsid w:val="00B87A65"/>
    <w:rsid w:val="00B87E73"/>
    <w:rsid w:val="00B90B35"/>
    <w:rsid w:val="00B949D5"/>
    <w:rsid w:val="00BA6F80"/>
    <w:rsid w:val="00BC58DC"/>
    <w:rsid w:val="00BD0FF1"/>
    <w:rsid w:val="00BD7F05"/>
    <w:rsid w:val="00BE2DB2"/>
    <w:rsid w:val="00BE35C2"/>
    <w:rsid w:val="00BF22DB"/>
    <w:rsid w:val="00C03D07"/>
    <w:rsid w:val="00C05DF7"/>
    <w:rsid w:val="00C1066B"/>
    <w:rsid w:val="00C14283"/>
    <w:rsid w:val="00C300FF"/>
    <w:rsid w:val="00C3097C"/>
    <w:rsid w:val="00C354E6"/>
    <w:rsid w:val="00C61944"/>
    <w:rsid w:val="00C73A5E"/>
    <w:rsid w:val="00C75FAB"/>
    <w:rsid w:val="00CB3C84"/>
    <w:rsid w:val="00CC08A2"/>
    <w:rsid w:val="00CC0C7B"/>
    <w:rsid w:val="00CC0EC6"/>
    <w:rsid w:val="00CC1F8E"/>
    <w:rsid w:val="00CD7662"/>
    <w:rsid w:val="00CE195E"/>
    <w:rsid w:val="00CF64BC"/>
    <w:rsid w:val="00CF6E50"/>
    <w:rsid w:val="00D1750B"/>
    <w:rsid w:val="00D1769C"/>
    <w:rsid w:val="00D46152"/>
    <w:rsid w:val="00D51D63"/>
    <w:rsid w:val="00D53F78"/>
    <w:rsid w:val="00D56AF5"/>
    <w:rsid w:val="00D66DEC"/>
    <w:rsid w:val="00D75108"/>
    <w:rsid w:val="00D751E7"/>
    <w:rsid w:val="00D86BED"/>
    <w:rsid w:val="00D920D4"/>
    <w:rsid w:val="00DA0567"/>
    <w:rsid w:val="00DB2940"/>
    <w:rsid w:val="00DB6D28"/>
    <w:rsid w:val="00DC32CF"/>
    <w:rsid w:val="00DD32A0"/>
    <w:rsid w:val="00DD3E47"/>
    <w:rsid w:val="00E00D18"/>
    <w:rsid w:val="00E02371"/>
    <w:rsid w:val="00E1050F"/>
    <w:rsid w:val="00E16686"/>
    <w:rsid w:val="00E2698F"/>
    <w:rsid w:val="00E33BBB"/>
    <w:rsid w:val="00E42525"/>
    <w:rsid w:val="00E61957"/>
    <w:rsid w:val="00E61C69"/>
    <w:rsid w:val="00E67796"/>
    <w:rsid w:val="00E71AFC"/>
    <w:rsid w:val="00E72A49"/>
    <w:rsid w:val="00E824A4"/>
    <w:rsid w:val="00E8516D"/>
    <w:rsid w:val="00E85C15"/>
    <w:rsid w:val="00E901A8"/>
    <w:rsid w:val="00E96B8C"/>
    <w:rsid w:val="00EA0190"/>
    <w:rsid w:val="00EB6213"/>
    <w:rsid w:val="00EC4B0E"/>
    <w:rsid w:val="00ED418B"/>
    <w:rsid w:val="00ED4BE4"/>
    <w:rsid w:val="00ED6D04"/>
    <w:rsid w:val="00EE05CC"/>
    <w:rsid w:val="00EE19F0"/>
    <w:rsid w:val="00EF40B8"/>
    <w:rsid w:val="00EF66D3"/>
    <w:rsid w:val="00EF6703"/>
    <w:rsid w:val="00F23CB8"/>
    <w:rsid w:val="00F26EE2"/>
    <w:rsid w:val="00F43054"/>
    <w:rsid w:val="00F46B98"/>
    <w:rsid w:val="00F525E1"/>
    <w:rsid w:val="00F729C6"/>
    <w:rsid w:val="00F900A8"/>
    <w:rsid w:val="00FA282F"/>
    <w:rsid w:val="00FA79F1"/>
    <w:rsid w:val="00FD2A2F"/>
    <w:rsid w:val="00FD5F36"/>
    <w:rsid w:val="00FE4D10"/>
    <w:rsid w:val="00FF37F3"/>
    <w:rsid w:val="00F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7513E"/>
  <w15:chartTrackingRefBased/>
  <w15:docId w15:val="{76002BEF-74A9-451A-B114-4C8AB384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B7"/>
  </w:style>
  <w:style w:type="paragraph" w:styleId="Heading1">
    <w:name w:val="heading 1"/>
    <w:basedOn w:val="NormalWeb"/>
    <w:next w:val="Normal"/>
    <w:link w:val="Heading1Char"/>
    <w:uiPriority w:val="9"/>
    <w:qFormat/>
    <w:rsid w:val="00130881"/>
    <w:pPr>
      <w:kinsoku w:val="0"/>
      <w:overflowPunct w:val="0"/>
      <w:spacing w:before="0" w:beforeAutospacing="0" w:after="0" w:afterAutospacing="0" w:line="360" w:lineRule="auto"/>
      <w:textAlignment w:val="baseline"/>
      <w:outlineLvl w:val="0"/>
    </w:pPr>
    <w:rPr>
      <w:rFonts w:ascii="BPG Nino Mtavruli" w:eastAsia="+mn-ea" w:hAnsi="BPG Nino Mtavruli" w:cs="Sylfaen"/>
      <w:bCs/>
      <w:color w:val="000000"/>
      <w:kern w:val="24"/>
      <w:sz w:val="32"/>
      <w:szCs w:val="32"/>
    </w:rPr>
  </w:style>
  <w:style w:type="paragraph" w:styleId="Heading2">
    <w:name w:val="heading 2"/>
    <w:basedOn w:val="Normal"/>
    <w:next w:val="Normal"/>
    <w:link w:val="Heading2Char"/>
    <w:uiPriority w:val="9"/>
    <w:unhideWhenUsed/>
    <w:qFormat/>
    <w:rsid w:val="00130881"/>
    <w:pPr>
      <w:spacing w:line="240" w:lineRule="auto"/>
      <w:jc w:val="both"/>
      <w:outlineLvl w:val="1"/>
    </w:pPr>
    <w:rPr>
      <w:rFonts w:ascii="BPG Nino Mtavruli" w:hAnsi="BPG Nino Mtavruli"/>
      <w:sz w:val="24"/>
      <w:szCs w:val="26"/>
      <w:lang w:val="ka-GE"/>
    </w:rPr>
  </w:style>
  <w:style w:type="paragraph" w:styleId="Heading3">
    <w:name w:val="heading 3"/>
    <w:basedOn w:val="Normal"/>
    <w:next w:val="Normal"/>
    <w:link w:val="Heading3Char"/>
    <w:uiPriority w:val="9"/>
    <w:unhideWhenUsed/>
    <w:qFormat/>
    <w:rsid w:val="00130881"/>
    <w:pPr>
      <w:keepNext/>
      <w:keepLines/>
      <w:spacing w:before="40" w:after="0"/>
      <w:outlineLvl w:val="2"/>
    </w:pPr>
    <w:rPr>
      <w:rFonts w:ascii="BPG Nino Mtavruli" w:eastAsiaTheme="majorEastAsia" w:hAnsi="BPG Nino Mtavruli" w:cstheme="majorBidi"/>
      <w:color w:val="000000" w:themeColor="text1"/>
      <w:sz w:val="24"/>
      <w:szCs w:val="24"/>
    </w:rPr>
  </w:style>
  <w:style w:type="paragraph" w:styleId="Heading4">
    <w:name w:val="heading 4"/>
    <w:basedOn w:val="Normal"/>
    <w:next w:val="Normal"/>
    <w:link w:val="Heading4Char"/>
    <w:uiPriority w:val="9"/>
    <w:unhideWhenUsed/>
    <w:qFormat/>
    <w:rsid w:val="008555E8"/>
    <w:pPr>
      <w:keepNext/>
      <w:keepLines/>
      <w:spacing w:before="40" w:after="0"/>
      <w:outlineLvl w:val="3"/>
    </w:pPr>
    <w:rPr>
      <w:rFonts w:ascii="BPG Nino Mtavruli" w:eastAsiaTheme="majorEastAsia" w:hAnsi="BPG Nino Mtavruli" w:cstheme="majorBidi"/>
      <w:color w:val="000000" w:themeColor="text1"/>
      <w:sz w:val="21"/>
      <w:szCs w:val="21"/>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50"/>
  </w:style>
  <w:style w:type="paragraph" w:styleId="Footer">
    <w:name w:val="footer"/>
    <w:basedOn w:val="Normal"/>
    <w:link w:val="FooterChar"/>
    <w:uiPriority w:val="99"/>
    <w:unhideWhenUsed/>
    <w:qFormat/>
    <w:rsid w:val="00CF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50"/>
  </w:style>
  <w:style w:type="paragraph" w:styleId="BalloonText">
    <w:name w:val="Balloon Text"/>
    <w:basedOn w:val="Normal"/>
    <w:link w:val="BalloonTextChar"/>
    <w:uiPriority w:val="99"/>
    <w:semiHidden/>
    <w:unhideWhenUsed/>
    <w:rsid w:val="0013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881"/>
    <w:rPr>
      <w:rFonts w:ascii="Segoe UI" w:hAnsi="Segoe UI" w:cs="Segoe UI"/>
      <w:sz w:val="18"/>
      <w:szCs w:val="18"/>
    </w:rPr>
  </w:style>
  <w:style w:type="character" w:customStyle="1" w:styleId="Heading1Char">
    <w:name w:val="Heading 1 Char"/>
    <w:basedOn w:val="DefaultParagraphFont"/>
    <w:link w:val="Heading1"/>
    <w:uiPriority w:val="9"/>
    <w:rsid w:val="00130881"/>
    <w:rPr>
      <w:rFonts w:ascii="BPG Nino Mtavruli" w:eastAsia="+mn-ea" w:hAnsi="BPG Nino Mtavruli" w:cs="Sylfaen"/>
      <w:bCs/>
      <w:color w:val="000000"/>
      <w:kern w:val="24"/>
      <w:sz w:val="32"/>
      <w:szCs w:val="32"/>
    </w:rPr>
  </w:style>
  <w:style w:type="character" w:customStyle="1" w:styleId="Heading2Char">
    <w:name w:val="Heading 2 Char"/>
    <w:basedOn w:val="DefaultParagraphFont"/>
    <w:link w:val="Heading2"/>
    <w:uiPriority w:val="9"/>
    <w:rsid w:val="00130881"/>
    <w:rPr>
      <w:rFonts w:ascii="BPG Nino Mtavruli" w:hAnsi="BPG Nino Mtavruli"/>
      <w:sz w:val="24"/>
      <w:szCs w:val="26"/>
      <w:lang w:val="ka-GE"/>
    </w:rPr>
  </w:style>
  <w:style w:type="character" w:customStyle="1" w:styleId="Heading3Char">
    <w:name w:val="Heading 3 Char"/>
    <w:basedOn w:val="DefaultParagraphFont"/>
    <w:link w:val="Heading3"/>
    <w:uiPriority w:val="9"/>
    <w:rsid w:val="00130881"/>
    <w:rPr>
      <w:rFonts w:ascii="BPG Nino Mtavruli" w:eastAsiaTheme="majorEastAsia" w:hAnsi="BPG Nino Mtavruli" w:cstheme="majorBidi"/>
      <w:color w:val="000000" w:themeColor="text1"/>
      <w:sz w:val="24"/>
      <w:szCs w:val="24"/>
    </w:rPr>
  </w:style>
  <w:style w:type="paragraph" w:styleId="NormalWeb">
    <w:name w:val="Normal (Web)"/>
    <w:basedOn w:val="Normal"/>
    <w:uiPriority w:val="99"/>
    <w:unhideWhenUsed/>
    <w:rsid w:val="00130881"/>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130881"/>
    <w:pPr>
      <w:spacing w:after="200" w:line="240" w:lineRule="auto"/>
    </w:pPr>
    <w:rPr>
      <w:i/>
      <w:iCs/>
      <w:color w:val="44546A" w:themeColor="text2"/>
      <w:sz w:val="18"/>
      <w:szCs w:val="18"/>
    </w:rPr>
  </w:style>
  <w:style w:type="paragraph" w:styleId="NoSpacing">
    <w:name w:val="No Spacing"/>
    <w:uiPriority w:val="1"/>
    <w:qFormat/>
    <w:rsid w:val="00130881"/>
    <w:pPr>
      <w:spacing w:after="0" w:line="240" w:lineRule="auto"/>
    </w:pPr>
    <w:rPr>
      <w:color w:val="44546A" w:themeColor="text2"/>
      <w:sz w:val="20"/>
      <w:szCs w:val="20"/>
    </w:rPr>
  </w:style>
  <w:style w:type="character" w:styleId="PlaceholderText">
    <w:name w:val="Placeholder Text"/>
    <w:basedOn w:val="DefaultParagraphFont"/>
    <w:uiPriority w:val="99"/>
    <w:semiHidden/>
    <w:rsid w:val="00130881"/>
    <w:rPr>
      <w:color w:val="808080"/>
    </w:rPr>
  </w:style>
  <w:style w:type="table" w:styleId="TableGrid">
    <w:name w:val="Table Grid"/>
    <w:basedOn w:val="TableNormal"/>
    <w:uiPriority w:val="39"/>
    <w:rsid w:val="0013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1308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13088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13088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5Dark-Accent1">
    <w:name w:val="Grid Table 5 Dark Accent 1"/>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130881"/>
    <w:pPr>
      <w:ind w:left="720"/>
      <w:contextualSpacing/>
    </w:pPr>
  </w:style>
  <w:style w:type="paragraph" w:styleId="TOCHeading">
    <w:name w:val="TOC Heading"/>
    <w:basedOn w:val="Heading1"/>
    <w:next w:val="Normal"/>
    <w:uiPriority w:val="39"/>
    <w:unhideWhenUsed/>
    <w:qFormat/>
    <w:rsid w:val="00130881"/>
    <w:pPr>
      <w:keepNext/>
      <w:keepLines/>
      <w:kinsoku/>
      <w:overflowPunct/>
      <w:spacing w:before="240" w:line="259" w:lineRule="auto"/>
      <w:textAlignment w:val="auto"/>
      <w:outlineLvl w:val="9"/>
    </w:pPr>
    <w:rPr>
      <w:rFonts w:asciiTheme="majorHAnsi" w:eastAsiaTheme="majorEastAsia" w:hAnsiTheme="majorHAnsi" w:cstheme="majorBidi"/>
      <w:bCs w:val="0"/>
      <w:color w:val="2F5496" w:themeColor="accent1" w:themeShade="BF"/>
      <w:kern w:val="0"/>
    </w:rPr>
  </w:style>
  <w:style w:type="paragraph" w:styleId="TOC2">
    <w:name w:val="toc 2"/>
    <w:basedOn w:val="Normal"/>
    <w:next w:val="Normal"/>
    <w:autoRedefine/>
    <w:uiPriority w:val="39"/>
    <w:unhideWhenUsed/>
    <w:rsid w:val="00130881"/>
    <w:pPr>
      <w:spacing w:after="100"/>
      <w:ind w:left="220"/>
    </w:pPr>
  </w:style>
  <w:style w:type="paragraph" w:styleId="TOC1">
    <w:name w:val="toc 1"/>
    <w:basedOn w:val="Normal"/>
    <w:next w:val="Normal"/>
    <w:autoRedefine/>
    <w:uiPriority w:val="39"/>
    <w:unhideWhenUsed/>
    <w:rsid w:val="00130881"/>
    <w:pPr>
      <w:spacing w:after="100"/>
    </w:pPr>
  </w:style>
  <w:style w:type="character" w:styleId="Hyperlink">
    <w:name w:val="Hyperlink"/>
    <w:basedOn w:val="DefaultParagraphFont"/>
    <w:uiPriority w:val="99"/>
    <w:unhideWhenUsed/>
    <w:rsid w:val="00130881"/>
    <w:rPr>
      <w:color w:val="0563C1" w:themeColor="hyperlink"/>
      <w:u w:val="single"/>
    </w:rPr>
  </w:style>
  <w:style w:type="paragraph" w:styleId="TOC3">
    <w:name w:val="toc 3"/>
    <w:basedOn w:val="Normal"/>
    <w:next w:val="Normal"/>
    <w:autoRedefine/>
    <w:uiPriority w:val="39"/>
    <w:unhideWhenUsed/>
    <w:rsid w:val="00130881"/>
    <w:pPr>
      <w:spacing w:after="100"/>
      <w:ind w:left="440"/>
    </w:pPr>
  </w:style>
  <w:style w:type="table" w:styleId="TableGridLight">
    <w:name w:val="Grid Table Light"/>
    <w:basedOn w:val="TableNormal"/>
    <w:uiPriority w:val="40"/>
    <w:rsid w:val="001308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130881"/>
    <w:pPr>
      <w:spacing w:after="100"/>
      <w:ind w:left="660"/>
    </w:pPr>
    <w:rPr>
      <w:rFonts w:eastAsiaTheme="minorEastAsia"/>
    </w:rPr>
  </w:style>
  <w:style w:type="paragraph" w:styleId="TOC5">
    <w:name w:val="toc 5"/>
    <w:basedOn w:val="Normal"/>
    <w:next w:val="Normal"/>
    <w:autoRedefine/>
    <w:uiPriority w:val="39"/>
    <w:unhideWhenUsed/>
    <w:rsid w:val="00130881"/>
    <w:pPr>
      <w:spacing w:after="100"/>
      <w:ind w:left="880"/>
    </w:pPr>
    <w:rPr>
      <w:rFonts w:eastAsiaTheme="minorEastAsia"/>
    </w:rPr>
  </w:style>
  <w:style w:type="paragraph" w:styleId="TOC6">
    <w:name w:val="toc 6"/>
    <w:basedOn w:val="Normal"/>
    <w:next w:val="Normal"/>
    <w:autoRedefine/>
    <w:uiPriority w:val="39"/>
    <w:unhideWhenUsed/>
    <w:rsid w:val="00130881"/>
    <w:pPr>
      <w:spacing w:after="100"/>
      <w:ind w:left="1100"/>
    </w:pPr>
    <w:rPr>
      <w:rFonts w:eastAsiaTheme="minorEastAsia"/>
    </w:rPr>
  </w:style>
  <w:style w:type="paragraph" w:styleId="TOC7">
    <w:name w:val="toc 7"/>
    <w:basedOn w:val="Normal"/>
    <w:next w:val="Normal"/>
    <w:autoRedefine/>
    <w:uiPriority w:val="39"/>
    <w:unhideWhenUsed/>
    <w:rsid w:val="00130881"/>
    <w:pPr>
      <w:spacing w:after="100"/>
      <w:ind w:left="1320"/>
    </w:pPr>
    <w:rPr>
      <w:rFonts w:eastAsiaTheme="minorEastAsia"/>
    </w:rPr>
  </w:style>
  <w:style w:type="paragraph" w:styleId="TOC8">
    <w:name w:val="toc 8"/>
    <w:basedOn w:val="Normal"/>
    <w:next w:val="Normal"/>
    <w:autoRedefine/>
    <w:uiPriority w:val="39"/>
    <w:unhideWhenUsed/>
    <w:rsid w:val="00130881"/>
    <w:pPr>
      <w:spacing w:after="100"/>
      <w:ind w:left="1540"/>
    </w:pPr>
    <w:rPr>
      <w:rFonts w:eastAsiaTheme="minorEastAsia"/>
    </w:rPr>
  </w:style>
  <w:style w:type="paragraph" w:styleId="TOC9">
    <w:name w:val="toc 9"/>
    <w:basedOn w:val="Normal"/>
    <w:next w:val="Normal"/>
    <w:autoRedefine/>
    <w:uiPriority w:val="39"/>
    <w:unhideWhenUsed/>
    <w:rsid w:val="00130881"/>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130881"/>
    <w:rPr>
      <w:color w:val="605E5C"/>
      <w:shd w:val="clear" w:color="auto" w:fill="E1DFDD"/>
    </w:rPr>
  </w:style>
  <w:style w:type="character" w:customStyle="1" w:styleId="Heading4Char">
    <w:name w:val="Heading 4 Char"/>
    <w:basedOn w:val="DefaultParagraphFont"/>
    <w:link w:val="Heading4"/>
    <w:uiPriority w:val="9"/>
    <w:rsid w:val="008555E8"/>
    <w:rPr>
      <w:rFonts w:ascii="BPG Nino Mtavruli" w:eastAsiaTheme="majorEastAsia" w:hAnsi="BPG Nino Mtavruli" w:cstheme="majorBidi"/>
      <w:color w:val="000000" w:themeColor="text1"/>
      <w:sz w:val="21"/>
      <w:szCs w:val="21"/>
      <w:lang w:val="ka-GE"/>
    </w:rPr>
  </w:style>
  <w:style w:type="character" w:styleId="CommentReference">
    <w:name w:val="annotation reference"/>
    <w:basedOn w:val="DefaultParagraphFont"/>
    <w:uiPriority w:val="99"/>
    <w:semiHidden/>
    <w:unhideWhenUsed/>
    <w:rsid w:val="005074EE"/>
    <w:rPr>
      <w:sz w:val="16"/>
      <w:szCs w:val="16"/>
    </w:rPr>
  </w:style>
  <w:style w:type="paragraph" w:styleId="CommentText">
    <w:name w:val="annotation text"/>
    <w:basedOn w:val="Normal"/>
    <w:link w:val="CommentTextChar"/>
    <w:uiPriority w:val="99"/>
    <w:semiHidden/>
    <w:unhideWhenUsed/>
    <w:rsid w:val="005074EE"/>
    <w:pPr>
      <w:spacing w:line="240" w:lineRule="auto"/>
    </w:pPr>
    <w:rPr>
      <w:sz w:val="20"/>
      <w:szCs w:val="20"/>
    </w:rPr>
  </w:style>
  <w:style w:type="character" w:customStyle="1" w:styleId="CommentTextChar">
    <w:name w:val="Comment Text Char"/>
    <w:basedOn w:val="DefaultParagraphFont"/>
    <w:link w:val="CommentText"/>
    <w:uiPriority w:val="99"/>
    <w:semiHidden/>
    <w:rsid w:val="005074EE"/>
    <w:rPr>
      <w:sz w:val="20"/>
      <w:szCs w:val="20"/>
    </w:rPr>
  </w:style>
  <w:style w:type="paragraph" w:styleId="CommentSubject">
    <w:name w:val="annotation subject"/>
    <w:basedOn w:val="CommentText"/>
    <w:next w:val="CommentText"/>
    <w:link w:val="CommentSubjectChar"/>
    <w:uiPriority w:val="99"/>
    <w:semiHidden/>
    <w:unhideWhenUsed/>
    <w:rsid w:val="005074EE"/>
    <w:rPr>
      <w:b/>
      <w:bCs/>
    </w:rPr>
  </w:style>
  <w:style w:type="character" w:customStyle="1" w:styleId="CommentSubjectChar">
    <w:name w:val="Comment Subject Char"/>
    <w:basedOn w:val="CommentTextChar"/>
    <w:link w:val="CommentSubject"/>
    <w:uiPriority w:val="99"/>
    <w:semiHidden/>
    <w:rsid w:val="005074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0501">
      <w:bodyDiv w:val="1"/>
      <w:marLeft w:val="0"/>
      <w:marRight w:val="0"/>
      <w:marTop w:val="0"/>
      <w:marBottom w:val="0"/>
      <w:divBdr>
        <w:top w:val="none" w:sz="0" w:space="0" w:color="auto"/>
        <w:left w:val="none" w:sz="0" w:space="0" w:color="auto"/>
        <w:bottom w:val="none" w:sz="0" w:space="0" w:color="auto"/>
        <w:right w:val="none" w:sz="0" w:space="0" w:color="auto"/>
      </w:divBdr>
    </w:div>
    <w:div w:id="129903952">
      <w:bodyDiv w:val="1"/>
      <w:marLeft w:val="0"/>
      <w:marRight w:val="0"/>
      <w:marTop w:val="0"/>
      <w:marBottom w:val="0"/>
      <w:divBdr>
        <w:top w:val="none" w:sz="0" w:space="0" w:color="auto"/>
        <w:left w:val="none" w:sz="0" w:space="0" w:color="auto"/>
        <w:bottom w:val="none" w:sz="0" w:space="0" w:color="auto"/>
        <w:right w:val="none" w:sz="0" w:space="0" w:color="auto"/>
      </w:divBdr>
    </w:div>
    <w:div w:id="212012513">
      <w:bodyDiv w:val="1"/>
      <w:marLeft w:val="0"/>
      <w:marRight w:val="0"/>
      <w:marTop w:val="0"/>
      <w:marBottom w:val="0"/>
      <w:divBdr>
        <w:top w:val="none" w:sz="0" w:space="0" w:color="auto"/>
        <w:left w:val="none" w:sz="0" w:space="0" w:color="auto"/>
        <w:bottom w:val="none" w:sz="0" w:space="0" w:color="auto"/>
        <w:right w:val="none" w:sz="0" w:space="0" w:color="auto"/>
      </w:divBdr>
    </w:div>
    <w:div w:id="1250889412">
      <w:bodyDiv w:val="1"/>
      <w:marLeft w:val="0"/>
      <w:marRight w:val="0"/>
      <w:marTop w:val="0"/>
      <w:marBottom w:val="0"/>
      <w:divBdr>
        <w:top w:val="none" w:sz="0" w:space="0" w:color="auto"/>
        <w:left w:val="none" w:sz="0" w:space="0" w:color="auto"/>
        <w:bottom w:val="none" w:sz="0" w:space="0" w:color="auto"/>
        <w:right w:val="none" w:sz="0" w:space="0" w:color="auto"/>
      </w:divBdr>
    </w:div>
    <w:div w:id="1417635162">
      <w:bodyDiv w:val="1"/>
      <w:marLeft w:val="0"/>
      <w:marRight w:val="0"/>
      <w:marTop w:val="0"/>
      <w:marBottom w:val="0"/>
      <w:divBdr>
        <w:top w:val="none" w:sz="0" w:space="0" w:color="auto"/>
        <w:left w:val="none" w:sz="0" w:space="0" w:color="auto"/>
        <w:bottom w:val="none" w:sz="0" w:space="0" w:color="auto"/>
        <w:right w:val="none" w:sz="0" w:space="0" w:color="auto"/>
      </w:divBdr>
    </w:div>
    <w:div w:id="1647121953">
      <w:bodyDiv w:val="1"/>
      <w:marLeft w:val="0"/>
      <w:marRight w:val="0"/>
      <w:marTop w:val="0"/>
      <w:marBottom w:val="0"/>
      <w:divBdr>
        <w:top w:val="none" w:sz="0" w:space="0" w:color="auto"/>
        <w:left w:val="none" w:sz="0" w:space="0" w:color="auto"/>
        <w:bottom w:val="none" w:sz="0" w:space="0" w:color="auto"/>
        <w:right w:val="none" w:sz="0" w:space="0" w:color="auto"/>
      </w:divBdr>
    </w:div>
    <w:div w:id="1849900792">
      <w:bodyDiv w:val="1"/>
      <w:marLeft w:val="0"/>
      <w:marRight w:val="0"/>
      <w:marTop w:val="0"/>
      <w:marBottom w:val="0"/>
      <w:divBdr>
        <w:top w:val="none" w:sz="0" w:space="0" w:color="auto"/>
        <w:left w:val="none" w:sz="0" w:space="0" w:color="auto"/>
        <w:bottom w:val="none" w:sz="0" w:space="0" w:color="auto"/>
        <w:right w:val="none" w:sz="0" w:space="0" w:color="auto"/>
      </w:divBdr>
    </w:div>
    <w:div w:id="2002805527">
      <w:bodyDiv w:val="1"/>
      <w:marLeft w:val="0"/>
      <w:marRight w:val="0"/>
      <w:marTop w:val="0"/>
      <w:marBottom w:val="0"/>
      <w:divBdr>
        <w:top w:val="none" w:sz="0" w:space="0" w:color="auto"/>
        <w:left w:val="none" w:sz="0" w:space="0" w:color="auto"/>
        <w:bottom w:val="none" w:sz="0" w:space="0" w:color="auto"/>
        <w:right w:val="none" w:sz="0" w:space="0" w:color="auto"/>
      </w:divBdr>
    </w:div>
    <w:div w:id="21165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arghius\Downloads\WEOJun2020update.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Marghius\Desktop\&#4306;&#4320;&#4304;&#4324;&#4312;&#4313;&#4308;&#4305;&#4312;.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Marghius\Desktop\&#4306;&#4320;&#4304;&#4324;&#4312;&#4313;&#4308;&#4305;&#4312;.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Marghius\Desktop\&#4306;&#4320;&#4304;&#4324;&#4312;&#4313;&#4308;&#4305;&#431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mirza.gelashvili\Desktop\MTFS\&#4306;&#4320;&#4304;&#4324;&#4312;&#4313;&#4308;&#4305;&#43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mirza.gelashvili\Desktop\MTFS\&#4306;&#4320;&#4304;&#4324;&#4312;&#4313;&#4308;&#4305;&#43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3" Type="http://schemas.openxmlformats.org/officeDocument/2006/relationships/oleObject" Target="file:///C:\Users\mirza.gelashvili\AppData\Local\Microsoft\Windows\INetCache\Content.Outlook\THN4GUYW\2021%20FRS%20Chart%20sen%2017_1.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irza.gelashvili\AppData\Local\Microsoft\Windows\INetCache\Content.Outlook\THN4GUYW\2021%20FRS%20Chart%20sen%2017_1.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2.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irza.gelashvili\AppData\Local\Microsoft\Windows\INetCache\Content.Outlook\THN4GUYW\2021%20FRS%20Chart%20sen%2017_1.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3.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irza.gelashvili\AppData\Local\Microsoft\Windows\INetCache\Content.Outlook\THN4GUYW\2021%20FRS%20Chart%20sen%2017_1.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192257217847772E-2"/>
          <c:y val="5.0925925925925923E-2"/>
          <c:w val="0.88891885389326342"/>
          <c:h val="0.76226856778037877"/>
        </c:manualLayout>
      </c:layout>
      <c:barChart>
        <c:barDir val="col"/>
        <c:grouping val="clustered"/>
        <c:varyColors val="0"/>
        <c:ser>
          <c:idx val="0"/>
          <c:order val="0"/>
          <c:tx>
            <c:strRef>
              <c:f>'Table 1.'!$N$11</c:f>
              <c:strCache>
                <c:ptCount val="1"/>
                <c:pt idx="0">
                  <c:v>განვითარებული</c:v>
                </c:pt>
              </c:strCache>
            </c:strRef>
          </c:tx>
          <c:spPr>
            <a:solidFill>
              <a:srgbClr val="0099CC"/>
            </a:solidFill>
            <a:ln w="12700">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 1.'!$O$10:$P$10</c:f>
              <c:numCache>
                <c:formatCode>General</c:formatCode>
                <c:ptCount val="2"/>
                <c:pt idx="0">
                  <c:v>2020</c:v>
                </c:pt>
                <c:pt idx="1">
                  <c:v>2021</c:v>
                </c:pt>
              </c:numCache>
            </c:numRef>
          </c:cat>
          <c:val>
            <c:numRef>
              <c:f>'Table 1.'!$O$11:$P$11</c:f>
              <c:numCache>
                <c:formatCode>0.0%</c:formatCode>
                <c:ptCount val="2"/>
                <c:pt idx="0">
                  <c:v>-0.08</c:v>
                </c:pt>
                <c:pt idx="1">
                  <c:v>4.8000000000000001E-2</c:v>
                </c:pt>
              </c:numCache>
            </c:numRef>
          </c:val>
          <c:extLst>
            <c:ext xmlns:c16="http://schemas.microsoft.com/office/drawing/2014/chart" uri="{C3380CC4-5D6E-409C-BE32-E72D297353CC}">
              <c16:uniqueId val="{00000000-F685-43F6-8DF3-17DFF161A2DF}"/>
            </c:ext>
          </c:extLst>
        </c:ser>
        <c:ser>
          <c:idx val="1"/>
          <c:order val="1"/>
          <c:tx>
            <c:strRef>
              <c:f>'Table 1.'!$N$12</c:f>
              <c:strCache>
                <c:ptCount val="1"/>
                <c:pt idx="0">
                  <c:v>განვითარებადი</c:v>
                </c:pt>
              </c:strCache>
            </c:strRef>
          </c:tx>
          <c:spPr>
            <a:solidFill>
              <a:schemeClr val="accent2">
                <a:lumMod val="60000"/>
                <a:lumOff val="40000"/>
              </a:schemeClr>
            </a:solidFill>
            <a:ln w="12700">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 1.'!$O$10:$P$10</c:f>
              <c:numCache>
                <c:formatCode>General</c:formatCode>
                <c:ptCount val="2"/>
                <c:pt idx="0">
                  <c:v>2020</c:v>
                </c:pt>
                <c:pt idx="1">
                  <c:v>2021</c:v>
                </c:pt>
              </c:numCache>
            </c:numRef>
          </c:cat>
          <c:val>
            <c:numRef>
              <c:f>'Table 1.'!$O$12:$P$12</c:f>
              <c:numCache>
                <c:formatCode>0.0%</c:formatCode>
                <c:ptCount val="2"/>
                <c:pt idx="0">
                  <c:v>-0.03</c:v>
                </c:pt>
                <c:pt idx="1">
                  <c:v>5.9000000000000004E-2</c:v>
                </c:pt>
              </c:numCache>
            </c:numRef>
          </c:val>
          <c:extLst>
            <c:ext xmlns:c16="http://schemas.microsoft.com/office/drawing/2014/chart" uri="{C3380CC4-5D6E-409C-BE32-E72D297353CC}">
              <c16:uniqueId val="{00000001-F685-43F6-8DF3-17DFF161A2DF}"/>
            </c:ext>
          </c:extLst>
        </c:ser>
        <c:dLbls>
          <c:dLblPos val="outEnd"/>
          <c:showLegendKey val="0"/>
          <c:showVal val="1"/>
          <c:showCatName val="0"/>
          <c:showSerName val="0"/>
          <c:showPercent val="0"/>
          <c:showBubbleSize val="0"/>
        </c:dLbls>
        <c:gapWidth val="100"/>
        <c:axId val="1839062303"/>
        <c:axId val="1838182911"/>
      </c:barChart>
      <c:catAx>
        <c:axId val="183906230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38182911"/>
        <c:crosses val="autoZero"/>
        <c:auto val="1"/>
        <c:lblAlgn val="ctr"/>
        <c:lblOffset val="100"/>
        <c:noMultiLvlLbl val="0"/>
      </c:catAx>
      <c:valAx>
        <c:axId val="1838182911"/>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39062303"/>
        <c:crosses val="autoZero"/>
        <c:crossBetween val="between"/>
      </c:valAx>
      <c:spPr>
        <a:noFill/>
        <a:ln>
          <a:noFill/>
        </a:ln>
        <a:effectLst/>
      </c:spPr>
    </c:plotArea>
    <c:legend>
      <c:legendPos val="b"/>
      <c:layout>
        <c:manualLayout>
          <c:xMode val="edge"/>
          <c:yMode val="edge"/>
          <c:x val="0.17798958245558189"/>
          <c:y val="0.89577465376446386"/>
          <c:w val="0.65194790603612118"/>
          <c:h val="8.302767797904435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27496562929634E-2"/>
          <c:y val="2.4854681122974811E-2"/>
          <c:w val="0.88488376452943385"/>
          <c:h val="0.89086174437619381"/>
        </c:manualLayout>
      </c:layout>
      <c:lineChart>
        <c:grouping val="standard"/>
        <c:varyColors val="0"/>
        <c:ser>
          <c:idx val="0"/>
          <c:order val="0"/>
          <c:tx>
            <c:strRef>
              <c:f>Sheet2!$K$4</c:f>
              <c:strCache>
                <c:ptCount val="1"/>
                <c:pt idx="0">
                  <c:v>ნეგატიური</c:v>
                </c:pt>
              </c:strCache>
            </c:strRef>
          </c:tx>
          <c:spPr>
            <a:ln w="19050" cap="rnd">
              <a:solidFill>
                <a:srgbClr val="FF5050"/>
              </a:solidFill>
              <a:round/>
            </a:ln>
            <a:effectLst/>
          </c:spPr>
          <c:marker>
            <c:symbol val="none"/>
          </c:marker>
          <c:dLbls>
            <c:dLbl>
              <c:idx val="1"/>
              <c:layout>
                <c:manualLayout>
                  <c:x val="-5.4166666666666669E-2"/>
                  <c:y val="4.7498421971683032E-2"/>
                </c:manualLayout>
              </c:layout>
              <c:tx>
                <c:rich>
                  <a:bodyPr/>
                  <a:lstStyle/>
                  <a:p>
                    <a:r>
                      <a:rPr lang="en-US"/>
                      <a:t>-5.7%</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EB-46C6-BD4C-0D36167515F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Sheet2!$H$5:$H$11</c:f>
              <c:numCache>
                <c:formatCode>General</c:formatCode>
                <c:ptCount val="7"/>
                <c:pt idx="0">
                  <c:v>2019</c:v>
                </c:pt>
                <c:pt idx="1">
                  <c:v>2020</c:v>
                </c:pt>
                <c:pt idx="2">
                  <c:v>2021</c:v>
                </c:pt>
                <c:pt idx="3">
                  <c:v>2022</c:v>
                </c:pt>
                <c:pt idx="4">
                  <c:v>2023</c:v>
                </c:pt>
                <c:pt idx="5">
                  <c:v>2024</c:v>
                </c:pt>
                <c:pt idx="6">
                  <c:v>2025</c:v>
                </c:pt>
              </c:numCache>
            </c:numRef>
          </c:cat>
          <c:val>
            <c:numRef>
              <c:f>Sheet2!$K$5:$K$11</c:f>
              <c:numCache>
                <c:formatCode>0.0%</c:formatCode>
                <c:ptCount val="7"/>
                <c:pt idx="0">
                  <c:v>5.0999999999999997E-2</c:v>
                </c:pt>
                <c:pt idx="1">
                  <c:v>-0.06</c:v>
                </c:pt>
                <c:pt idx="2">
                  <c:v>0.02</c:v>
                </c:pt>
                <c:pt idx="3">
                  <c:v>0.02</c:v>
                </c:pt>
                <c:pt idx="4">
                  <c:v>3.3000000000000002E-2</c:v>
                </c:pt>
                <c:pt idx="5">
                  <c:v>5.7000000000000002E-2</c:v>
                </c:pt>
                <c:pt idx="6">
                  <c:v>6.6000000000000003E-2</c:v>
                </c:pt>
              </c:numCache>
            </c:numRef>
          </c:val>
          <c:smooth val="0"/>
          <c:extLst>
            <c:ext xmlns:c16="http://schemas.microsoft.com/office/drawing/2014/chart" uri="{C3380CC4-5D6E-409C-BE32-E72D297353CC}">
              <c16:uniqueId val="{00000001-25EB-46C6-BD4C-0D36167515FD}"/>
            </c:ext>
          </c:extLst>
        </c:ser>
        <c:dLbls>
          <c:dLblPos val="t"/>
          <c:showLegendKey val="0"/>
          <c:showVal val="1"/>
          <c:showCatName val="0"/>
          <c:showSerName val="0"/>
          <c:showPercent val="0"/>
          <c:showBubbleSize val="0"/>
        </c:dLbls>
        <c:smooth val="0"/>
        <c:axId val="1346027375"/>
        <c:axId val="1165906943"/>
      </c:lineChart>
      <c:catAx>
        <c:axId val="134602737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165906943"/>
        <c:crosses val="autoZero"/>
        <c:auto val="1"/>
        <c:lblAlgn val="ctr"/>
        <c:lblOffset val="100"/>
        <c:noMultiLvlLbl val="0"/>
      </c:catAx>
      <c:valAx>
        <c:axId val="1165906943"/>
        <c:scaling>
          <c:orientation val="minMax"/>
        </c:scaling>
        <c:delete val="1"/>
        <c:axPos val="l"/>
        <c:numFmt formatCode="0.0%" sourceLinked="1"/>
        <c:majorTickMark val="none"/>
        <c:minorTickMark val="none"/>
        <c:tickLblPos val="nextTo"/>
        <c:crossAx val="134602737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27496562929634E-2"/>
          <c:y val="5.2754982415005862E-2"/>
          <c:w val="0.88488376452943385"/>
          <c:h val="0.86231918841328892"/>
        </c:manualLayout>
      </c:layout>
      <c:lineChart>
        <c:grouping val="standard"/>
        <c:varyColors val="0"/>
        <c:ser>
          <c:idx val="0"/>
          <c:order val="0"/>
          <c:tx>
            <c:strRef>
              <c:f>Sheet2!$L$4</c:f>
              <c:strCache>
                <c:ptCount val="1"/>
                <c:pt idx="0">
                  <c:v>პოზიტიური</c:v>
                </c:pt>
              </c:strCache>
            </c:strRef>
          </c:tx>
          <c:spPr>
            <a:ln w="19050" cap="rnd">
              <a:solidFill>
                <a:srgbClr val="33CCCC"/>
              </a:solidFill>
              <a:round/>
            </a:ln>
            <a:effectLst/>
          </c:spPr>
          <c:marker>
            <c:symbol val="none"/>
          </c:marker>
          <c:dLbls>
            <c:dLbl>
              <c:idx val="1"/>
              <c:layout>
                <c:manualLayout>
                  <c:x val="-7.7976190476190477E-2"/>
                  <c:y val="4.7581947918878251E-2"/>
                </c:manualLayout>
              </c:layout>
              <c:tx>
                <c:rich>
                  <a:bodyPr/>
                  <a:lstStyle/>
                  <a:p>
                    <a:r>
                      <a:rPr lang="en-US"/>
                      <a:t>-4.2%</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AA-496A-9B43-1AE52351760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Sheet2!$H$5:$H$11</c:f>
              <c:numCache>
                <c:formatCode>General</c:formatCode>
                <c:ptCount val="7"/>
                <c:pt idx="0">
                  <c:v>2019</c:v>
                </c:pt>
                <c:pt idx="1">
                  <c:v>2020</c:v>
                </c:pt>
                <c:pt idx="2">
                  <c:v>2021</c:v>
                </c:pt>
                <c:pt idx="3">
                  <c:v>2022</c:v>
                </c:pt>
                <c:pt idx="4">
                  <c:v>2023</c:v>
                </c:pt>
                <c:pt idx="5">
                  <c:v>2024</c:v>
                </c:pt>
                <c:pt idx="6">
                  <c:v>2025</c:v>
                </c:pt>
              </c:numCache>
            </c:numRef>
          </c:cat>
          <c:val>
            <c:numRef>
              <c:f>Sheet2!$L$5:$L$11</c:f>
              <c:numCache>
                <c:formatCode>0.0%</c:formatCode>
                <c:ptCount val="7"/>
                <c:pt idx="0">
                  <c:v>5.0999999999999997E-2</c:v>
                </c:pt>
                <c:pt idx="1">
                  <c:v>-4.7E-2</c:v>
                </c:pt>
                <c:pt idx="2">
                  <c:v>7.2999999999999995E-2</c:v>
                </c:pt>
                <c:pt idx="3">
                  <c:v>7.2000000000000008E-2</c:v>
                </c:pt>
                <c:pt idx="4">
                  <c:v>0.06</c:v>
                </c:pt>
                <c:pt idx="5">
                  <c:v>5.0999999999999997E-2</c:v>
                </c:pt>
                <c:pt idx="6">
                  <c:v>5.2000000000000005E-2</c:v>
                </c:pt>
              </c:numCache>
            </c:numRef>
          </c:val>
          <c:smooth val="0"/>
          <c:extLst>
            <c:ext xmlns:c16="http://schemas.microsoft.com/office/drawing/2014/chart" uri="{C3380CC4-5D6E-409C-BE32-E72D297353CC}">
              <c16:uniqueId val="{00000001-5DAA-496A-9B43-1AE52351760B}"/>
            </c:ext>
          </c:extLst>
        </c:ser>
        <c:dLbls>
          <c:showLegendKey val="0"/>
          <c:showVal val="0"/>
          <c:showCatName val="0"/>
          <c:showSerName val="0"/>
          <c:showPercent val="0"/>
          <c:showBubbleSize val="0"/>
        </c:dLbls>
        <c:smooth val="0"/>
        <c:axId val="1168524415"/>
        <c:axId val="1086881263"/>
      </c:lineChart>
      <c:catAx>
        <c:axId val="116852441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086881263"/>
        <c:crosses val="autoZero"/>
        <c:auto val="1"/>
        <c:lblAlgn val="ctr"/>
        <c:lblOffset val="100"/>
        <c:noMultiLvlLbl val="0"/>
      </c:catAx>
      <c:valAx>
        <c:axId val="1086881263"/>
        <c:scaling>
          <c:orientation val="minMax"/>
        </c:scaling>
        <c:delete val="1"/>
        <c:axPos val="l"/>
        <c:numFmt formatCode="0.0%" sourceLinked="1"/>
        <c:majorTickMark val="none"/>
        <c:minorTickMark val="none"/>
        <c:tickLblPos val="nextTo"/>
        <c:crossAx val="116852441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076240469941259E-2"/>
          <c:y val="2.6660742057320594E-2"/>
          <c:w val="0.86920947381577307"/>
          <c:h val="0.89192183014448234"/>
        </c:manualLayout>
      </c:layout>
      <c:lineChart>
        <c:grouping val="standard"/>
        <c:varyColors val="0"/>
        <c:ser>
          <c:idx val="0"/>
          <c:order val="0"/>
          <c:tx>
            <c:strRef>
              <c:f>Sheet2!$Q$4</c:f>
              <c:strCache>
                <c:ptCount val="1"/>
                <c:pt idx="0">
                  <c:v>ნულოვანი</c:v>
                </c:pt>
              </c:strCache>
            </c:strRef>
          </c:tx>
          <c:spPr>
            <a:ln w="19050" cap="rnd">
              <a:solidFill>
                <a:sysClr val="window" lastClr="FFFFFF">
                  <a:lumMod val="65000"/>
                </a:sysClr>
              </a:solidFill>
              <a:prstDash val="dash"/>
              <a:round/>
            </a:ln>
            <a:effectLst/>
          </c:spPr>
          <c:marker>
            <c:symbol val="none"/>
          </c:marker>
          <c:cat>
            <c:numRef>
              <c:f>Sheet2!$P$5:$P$11</c:f>
              <c:numCache>
                <c:formatCode>General</c:formatCode>
                <c:ptCount val="7"/>
                <c:pt idx="0">
                  <c:v>2019</c:v>
                </c:pt>
                <c:pt idx="1">
                  <c:v>2020</c:v>
                </c:pt>
                <c:pt idx="2">
                  <c:v>2021</c:v>
                </c:pt>
                <c:pt idx="3">
                  <c:v>2022</c:v>
                </c:pt>
                <c:pt idx="4">
                  <c:v>2023</c:v>
                </c:pt>
                <c:pt idx="5">
                  <c:v>2024</c:v>
                </c:pt>
                <c:pt idx="6">
                  <c:v>2025</c:v>
                </c:pt>
              </c:numCache>
            </c:numRef>
          </c:cat>
          <c:val>
            <c:numRef>
              <c:f>Sheet2!$Q$5:$Q$11</c:f>
              <c:numCache>
                <c:formatCode>#,##0.0</c:formatCode>
                <c:ptCount val="7"/>
                <c:pt idx="0">
                  <c:v>76.789573827816653</c:v>
                </c:pt>
                <c:pt idx="1">
                  <c:v>80.245104650068399</c:v>
                </c:pt>
                <c:pt idx="2">
                  <c:v>83.856134359321473</c:v>
                </c:pt>
                <c:pt idx="3">
                  <c:v>87.629660405490938</c:v>
                </c:pt>
                <c:pt idx="4">
                  <c:v>91.572995123738025</c:v>
                </c:pt>
                <c:pt idx="5">
                  <c:v>95.693779904306226</c:v>
                </c:pt>
                <c:pt idx="6">
                  <c:v>100</c:v>
                </c:pt>
              </c:numCache>
            </c:numRef>
          </c:val>
          <c:smooth val="0"/>
          <c:extLst>
            <c:ext xmlns:c16="http://schemas.microsoft.com/office/drawing/2014/chart" uri="{C3380CC4-5D6E-409C-BE32-E72D297353CC}">
              <c16:uniqueId val="{00000000-4231-4F7D-BA1A-CC691B76D714}"/>
            </c:ext>
          </c:extLst>
        </c:ser>
        <c:dLbls>
          <c:showLegendKey val="0"/>
          <c:showVal val="0"/>
          <c:showCatName val="0"/>
          <c:showSerName val="0"/>
          <c:showPercent val="0"/>
          <c:showBubbleSize val="0"/>
        </c:dLbls>
        <c:marker val="1"/>
        <c:smooth val="0"/>
        <c:axId val="948633440"/>
        <c:axId val="948640512"/>
      </c:lineChart>
      <c:lineChart>
        <c:grouping val="standard"/>
        <c:varyColors val="0"/>
        <c:ser>
          <c:idx val="1"/>
          <c:order val="1"/>
          <c:tx>
            <c:strRef>
              <c:f>Sheet2!$R$4</c:f>
              <c:strCache>
                <c:ptCount val="1"/>
                <c:pt idx="0">
                  <c:v>საბაზისო</c:v>
                </c:pt>
              </c:strCache>
            </c:strRef>
          </c:tx>
          <c:spPr>
            <a:ln w="19050" cap="rnd">
              <a:solidFill>
                <a:srgbClr val="4472C4"/>
              </a:solidFill>
              <a:round/>
            </a:ln>
            <a:effectLst/>
          </c:spPr>
          <c:marker>
            <c:symbol val="none"/>
          </c:marker>
          <c:dLbls>
            <c:dLbl>
              <c:idx val="6"/>
              <c:tx>
                <c:rich>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r>
                      <a:rPr lang="en-US"/>
                      <a:t>-6.0</a:t>
                    </a:r>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31-4F7D-BA1A-CC691B76D7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Sheet2!$P$5:$P$11</c:f>
              <c:numCache>
                <c:formatCode>General</c:formatCode>
                <c:ptCount val="7"/>
                <c:pt idx="0">
                  <c:v>2019</c:v>
                </c:pt>
                <c:pt idx="1">
                  <c:v>2020</c:v>
                </c:pt>
                <c:pt idx="2">
                  <c:v>2021</c:v>
                </c:pt>
                <c:pt idx="3">
                  <c:v>2022</c:v>
                </c:pt>
                <c:pt idx="4">
                  <c:v>2023</c:v>
                </c:pt>
                <c:pt idx="5">
                  <c:v>2024</c:v>
                </c:pt>
                <c:pt idx="6">
                  <c:v>2025</c:v>
                </c:pt>
              </c:numCache>
            </c:numRef>
          </c:cat>
          <c:val>
            <c:numRef>
              <c:f>Sheet2!$R$5:$R$11</c:f>
              <c:numCache>
                <c:formatCode>#,##0.0</c:formatCode>
                <c:ptCount val="7"/>
                <c:pt idx="0">
                  <c:v>-23.210426172183347</c:v>
                </c:pt>
                <c:pt idx="1">
                  <c:v>-27.280273585057628</c:v>
                </c:pt>
                <c:pt idx="2">
                  <c:v>-23.644287264310506</c:v>
                </c:pt>
                <c:pt idx="3">
                  <c:v>-19.902857340261733</c:v>
                </c:pt>
                <c:pt idx="4">
                  <c:v>-16.058194492594296</c:v>
                </c:pt>
                <c:pt idx="5">
                  <c:v>-11.52533699519438</c:v>
                </c:pt>
                <c:pt idx="6">
                  <c:v>-6.3938065409156479</c:v>
                </c:pt>
              </c:numCache>
            </c:numRef>
          </c:val>
          <c:smooth val="0"/>
          <c:extLst>
            <c:ext xmlns:c16="http://schemas.microsoft.com/office/drawing/2014/chart" uri="{C3380CC4-5D6E-409C-BE32-E72D297353CC}">
              <c16:uniqueId val="{00000002-4231-4F7D-BA1A-CC691B76D714}"/>
            </c:ext>
          </c:extLst>
        </c:ser>
        <c:ser>
          <c:idx val="2"/>
          <c:order val="2"/>
          <c:tx>
            <c:strRef>
              <c:f>Sheet2!$S$4</c:f>
              <c:strCache>
                <c:ptCount val="1"/>
                <c:pt idx="0">
                  <c:v>ნეგატიური</c:v>
                </c:pt>
              </c:strCache>
            </c:strRef>
          </c:tx>
          <c:spPr>
            <a:ln w="19050" cap="rnd">
              <a:solidFill>
                <a:srgbClr val="FF5050"/>
              </a:solidFill>
              <a:round/>
            </a:ln>
            <a:effectLst/>
          </c:spPr>
          <c:marker>
            <c:symbol val="none"/>
          </c:marker>
          <c:dLbls>
            <c:dLbl>
              <c:idx val="6"/>
              <c:layout>
                <c:manualLayout>
                  <c:x val="0"/>
                  <c:y val="3.110419906687403E-2"/>
                </c:manualLayout>
              </c:layout>
              <c:tx>
                <c:rich>
                  <a:bodyPr/>
                  <a:lstStyle/>
                  <a:p>
                    <a:r>
                      <a:rPr lang="en-US"/>
                      <a:t>-12.3</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31-4F7D-BA1A-CC691B76D71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Sheet2!$P$5:$P$11</c:f>
              <c:numCache>
                <c:formatCode>General</c:formatCode>
                <c:ptCount val="7"/>
                <c:pt idx="0">
                  <c:v>2019</c:v>
                </c:pt>
                <c:pt idx="1">
                  <c:v>2020</c:v>
                </c:pt>
                <c:pt idx="2">
                  <c:v>2021</c:v>
                </c:pt>
                <c:pt idx="3">
                  <c:v>2022</c:v>
                </c:pt>
                <c:pt idx="4">
                  <c:v>2023</c:v>
                </c:pt>
                <c:pt idx="5">
                  <c:v>2024</c:v>
                </c:pt>
                <c:pt idx="6">
                  <c:v>2025</c:v>
                </c:pt>
              </c:numCache>
            </c:numRef>
          </c:cat>
          <c:val>
            <c:numRef>
              <c:f>Sheet2!$S$5:$S$11</c:f>
              <c:numCache>
                <c:formatCode>#,##0.0</c:formatCode>
                <c:ptCount val="7"/>
                <c:pt idx="0">
                  <c:v>-23.210426172183347</c:v>
                </c:pt>
                <c:pt idx="1">
                  <c:v>-27.817800601852355</c:v>
                </c:pt>
                <c:pt idx="2">
                  <c:v>-26.374156613889397</c:v>
                </c:pt>
                <c:pt idx="3">
                  <c:v>-24.901639746167177</c:v>
                </c:pt>
                <c:pt idx="4">
                  <c:v>-22.4233938577907</c:v>
                </c:pt>
                <c:pt idx="5">
                  <c:v>-18.001527307684768</c:v>
                </c:pt>
                <c:pt idx="6">
                  <c:v>-12.589628109991963</c:v>
                </c:pt>
              </c:numCache>
            </c:numRef>
          </c:val>
          <c:smooth val="0"/>
          <c:extLst>
            <c:ext xmlns:c16="http://schemas.microsoft.com/office/drawing/2014/chart" uri="{C3380CC4-5D6E-409C-BE32-E72D297353CC}">
              <c16:uniqueId val="{00000004-4231-4F7D-BA1A-CC691B76D714}"/>
            </c:ext>
          </c:extLst>
        </c:ser>
        <c:ser>
          <c:idx val="3"/>
          <c:order val="3"/>
          <c:tx>
            <c:strRef>
              <c:f>Sheet2!$T$4</c:f>
              <c:strCache>
                <c:ptCount val="1"/>
                <c:pt idx="0">
                  <c:v>პოზიტიური</c:v>
                </c:pt>
              </c:strCache>
            </c:strRef>
          </c:tx>
          <c:spPr>
            <a:ln w="19050" cap="rnd">
              <a:solidFill>
                <a:srgbClr val="33CCCC"/>
              </a:solidFill>
              <a:round/>
            </a:ln>
            <a:effectLst/>
          </c:spPr>
          <c:marker>
            <c:symbol val="none"/>
          </c:marker>
          <c:dLbls>
            <c:dLbl>
              <c:idx val="6"/>
              <c:tx>
                <c:rich>
                  <a:bodyPr/>
                  <a:lstStyle/>
                  <a:p>
                    <a:r>
                      <a:rPr lang="en-US"/>
                      <a:t>-0.8</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31-4F7D-BA1A-CC691B76D71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Sheet2!$P$5:$P$11</c:f>
              <c:numCache>
                <c:formatCode>General</c:formatCode>
                <c:ptCount val="7"/>
                <c:pt idx="0">
                  <c:v>2019</c:v>
                </c:pt>
                <c:pt idx="1">
                  <c:v>2020</c:v>
                </c:pt>
                <c:pt idx="2">
                  <c:v>2021</c:v>
                </c:pt>
                <c:pt idx="3">
                  <c:v>2022</c:v>
                </c:pt>
                <c:pt idx="4">
                  <c:v>2023</c:v>
                </c:pt>
                <c:pt idx="5">
                  <c:v>2024</c:v>
                </c:pt>
                <c:pt idx="6">
                  <c:v>2025</c:v>
                </c:pt>
              </c:numCache>
            </c:numRef>
          </c:cat>
          <c:val>
            <c:numRef>
              <c:f>Sheet2!$T$5:$T$11</c:f>
              <c:numCache>
                <c:formatCode>#,##0.0</c:formatCode>
                <c:ptCount val="7"/>
                <c:pt idx="0">
                  <c:v>-23.210426172183347</c:v>
                </c:pt>
                <c:pt idx="1">
                  <c:v>-26.819536142090726</c:v>
                </c:pt>
                <c:pt idx="2">
                  <c:v>-21.477362280463353</c:v>
                </c:pt>
                <c:pt idx="3">
                  <c:v>-15.823732364656706</c:v>
                </c:pt>
                <c:pt idx="4">
                  <c:v>-10.773156306536109</c:v>
                </c:pt>
                <c:pt idx="5">
                  <c:v>-6.2225872781694562</c:v>
                </c:pt>
                <c:pt idx="6">
                  <c:v>-1.3461618166342646</c:v>
                </c:pt>
              </c:numCache>
            </c:numRef>
          </c:val>
          <c:smooth val="0"/>
          <c:extLst>
            <c:ext xmlns:c16="http://schemas.microsoft.com/office/drawing/2014/chart" uri="{C3380CC4-5D6E-409C-BE32-E72D297353CC}">
              <c16:uniqueId val="{00000006-4231-4F7D-BA1A-CC691B76D714}"/>
            </c:ext>
          </c:extLst>
        </c:ser>
        <c:dLbls>
          <c:showLegendKey val="0"/>
          <c:showVal val="0"/>
          <c:showCatName val="0"/>
          <c:showSerName val="0"/>
          <c:showPercent val="0"/>
          <c:showBubbleSize val="0"/>
        </c:dLbls>
        <c:marker val="1"/>
        <c:smooth val="0"/>
        <c:axId val="1453084768"/>
        <c:axId val="1453078528"/>
      </c:lineChart>
      <c:catAx>
        <c:axId val="94863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48640512"/>
        <c:crosses val="autoZero"/>
        <c:auto val="1"/>
        <c:lblAlgn val="ctr"/>
        <c:lblOffset val="100"/>
        <c:noMultiLvlLbl val="0"/>
      </c:catAx>
      <c:valAx>
        <c:axId val="948640512"/>
        <c:scaling>
          <c:orientation val="minMax"/>
          <c:max val="100"/>
          <c:min val="70"/>
        </c:scaling>
        <c:delete val="0"/>
        <c:axPos val="l"/>
        <c:numFmt formatCode="#,##0.0" sourceLinked="1"/>
        <c:majorTickMark val="none"/>
        <c:minorTickMark val="none"/>
        <c:tickLblPos val="none"/>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48633440"/>
        <c:crosses val="autoZero"/>
        <c:crossBetween val="between"/>
      </c:valAx>
      <c:valAx>
        <c:axId val="1453078528"/>
        <c:scaling>
          <c:orientation val="minMax"/>
          <c:min val="-30"/>
        </c:scaling>
        <c:delete val="0"/>
        <c:axPos val="l"/>
        <c:numFmt formatCode="#,##0.0"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3084768"/>
        <c:crosses val="autoZero"/>
        <c:crossBetween val="between"/>
      </c:valAx>
      <c:catAx>
        <c:axId val="1453084768"/>
        <c:scaling>
          <c:orientation val="minMax"/>
        </c:scaling>
        <c:delete val="1"/>
        <c:axPos val="b"/>
        <c:numFmt formatCode="General" sourceLinked="1"/>
        <c:majorTickMark val="out"/>
        <c:minorTickMark val="none"/>
        <c:tickLblPos val="nextTo"/>
        <c:crossAx val="1453078528"/>
        <c:crosses val="autoZero"/>
        <c:auto val="1"/>
        <c:lblAlgn val="ctr"/>
        <c:lblOffset val="100"/>
        <c:noMultiLvlLbl val="0"/>
      </c:catAx>
      <c:spPr>
        <a:noFill/>
        <a:ln>
          <a:noFill/>
        </a:ln>
        <a:effectLst/>
      </c:spPr>
    </c:plotArea>
    <c:legend>
      <c:legendPos val="b"/>
      <c:layout>
        <c:manualLayout>
          <c:xMode val="edge"/>
          <c:yMode val="edge"/>
          <c:x val="0.12466254218222722"/>
          <c:y val="4.3544829058109573E-2"/>
          <c:w val="0.35384951881014876"/>
          <c:h val="0.2366151353942343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759961127308066E-2"/>
          <c:y val="5.7971014492753624E-2"/>
          <c:w val="0.91448007774538387"/>
          <c:h val="0.63009969603601923"/>
        </c:manualLayout>
      </c:layout>
      <c:barChart>
        <c:barDir val="col"/>
        <c:grouping val="clustered"/>
        <c:varyColors val="0"/>
        <c:ser>
          <c:idx val="0"/>
          <c:order val="0"/>
          <c:tx>
            <c:strRef>
              <c:f>Sheet1!$H$3</c:f>
              <c:strCache>
                <c:ptCount val="1"/>
                <c:pt idx="0">
                  <c:v>წლიური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Sheet1!$G$4:$G$11</c:f>
              <c:strCache>
                <c:ptCount val="8"/>
                <c:pt idx="0">
                  <c:v>იან</c:v>
                </c:pt>
                <c:pt idx="1">
                  <c:v>თებ</c:v>
                </c:pt>
                <c:pt idx="2">
                  <c:v>მარ</c:v>
                </c:pt>
                <c:pt idx="3">
                  <c:v>აპრ</c:v>
                </c:pt>
                <c:pt idx="4">
                  <c:v>მაი</c:v>
                </c:pt>
                <c:pt idx="5">
                  <c:v>ივნ</c:v>
                </c:pt>
                <c:pt idx="6">
                  <c:v>ივლ</c:v>
                </c:pt>
                <c:pt idx="7">
                  <c:v>აგვ</c:v>
                </c:pt>
              </c:strCache>
            </c:strRef>
          </c:cat>
          <c:val>
            <c:numRef>
              <c:f>Sheet1!$H$4:$H$11</c:f>
              <c:numCache>
                <c:formatCode>#,##0.0</c:formatCode>
                <c:ptCount val="8"/>
                <c:pt idx="0">
                  <c:v>6.3830418424982298</c:v>
                </c:pt>
                <c:pt idx="1">
                  <c:v>6.4445797138326384</c:v>
                </c:pt>
                <c:pt idx="2">
                  <c:v>6.0800229534029455</c:v>
                </c:pt>
                <c:pt idx="3">
                  <c:v>6.8627735477044922</c:v>
                </c:pt>
                <c:pt idx="4">
                  <c:v>6.5365840770208337</c:v>
                </c:pt>
                <c:pt idx="5">
                  <c:v>6.1302083434200938</c:v>
                </c:pt>
                <c:pt idx="6">
                  <c:v>5.6513368832026885</c:v>
                </c:pt>
                <c:pt idx="7">
                  <c:v>4.7900000000000063</c:v>
                </c:pt>
              </c:numCache>
            </c:numRef>
          </c:val>
          <c:extLst>
            <c:ext xmlns:c16="http://schemas.microsoft.com/office/drawing/2014/chart" uri="{C3380CC4-5D6E-409C-BE32-E72D297353CC}">
              <c16:uniqueId val="{00000000-0673-421E-8395-B46FD67A877B}"/>
            </c:ext>
          </c:extLst>
        </c:ser>
        <c:ser>
          <c:idx val="1"/>
          <c:order val="1"/>
          <c:tx>
            <c:strRef>
              <c:f>Sheet1!$I$3</c:f>
              <c:strCache>
                <c:ptCount val="1"/>
                <c:pt idx="0">
                  <c:v>თვე-თვესთან, ანუალიზებული</c:v>
                </c:pt>
              </c:strCache>
            </c:strRef>
          </c:tx>
          <c:spPr>
            <a:solidFill>
              <a:schemeClr val="accent2"/>
            </a:solidFill>
            <a:ln>
              <a:noFill/>
            </a:ln>
            <a:effectLst/>
          </c:spPr>
          <c:invertIfNegative val="0"/>
          <c:cat>
            <c:strRef>
              <c:f>Sheet1!$G$4:$G$11</c:f>
              <c:strCache>
                <c:ptCount val="8"/>
                <c:pt idx="0">
                  <c:v>იან</c:v>
                </c:pt>
                <c:pt idx="1">
                  <c:v>თებ</c:v>
                </c:pt>
                <c:pt idx="2">
                  <c:v>მარ</c:v>
                </c:pt>
                <c:pt idx="3">
                  <c:v>აპრ</c:v>
                </c:pt>
                <c:pt idx="4">
                  <c:v>მაი</c:v>
                </c:pt>
                <c:pt idx="5">
                  <c:v>ივნ</c:v>
                </c:pt>
                <c:pt idx="6">
                  <c:v>ივლ</c:v>
                </c:pt>
                <c:pt idx="7">
                  <c:v>აგვ</c:v>
                </c:pt>
              </c:strCache>
            </c:strRef>
          </c:cat>
          <c:val>
            <c:numRef>
              <c:f>Sheet1!$I$4:$I$11</c:f>
              <c:numCache>
                <c:formatCode>#,##0.0</c:formatCode>
                <c:ptCount val="8"/>
                <c:pt idx="0">
                  <c:v>0.23307505867235534</c:v>
                </c:pt>
                <c:pt idx="1">
                  <c:v>4.914006870982206</c:v>
                </c:pt>
                <c:pt idx="2">
                  <c:v>8.0613983534998113</c:v>
                </c:pt>
                <c:pt idx="3">
                  <c:v>14.49102784255885</c:v>
                </c:pt>
                <c:pt idx="4">
                  <c:v>5.2836522111639539</c:v>
                </c:pt>
                <c:pt idx="5">
                  <c:v>-1.1484241430609785</c:v>
                </c:pt>
                <c:pt idx="6">
                  <c:v>2.1809641147995507</c:v>
                </c:pt>
                <c:pt idx="7">
                  <c:v>-3.4852097971724163</c:v>
                </c:pt>
              </c:numCache>
            </c:numRef>
          </c:val>
          <c:extLst>
            <c:ext xmlns:c16="http://schemas.microsoft.com/office/drawing/2014/chart" uri="{C3380CC4-5D6E-409C-BE32-E72D297353CC}">
              <c16:uniqueId val="{00000001-0673-421E-8395-B46FD67A877B}"/>
            </c:ext>
          </c:extLst>
        </c:ser>
        <c:dLbls>
          <c:showLegendKey val="0"/>
          <c:showVal val="0"/>
          <c:showCatName val="0"/>
          <c:showSerName val="0"/>
          <c:showPercent val="0"/>
          <c:showBubbleSize val="0"/>
        </c:dLbls>
        <c:gapWidth val="150"/>
        <c:axId val="946563648"/>
        <c:axId val="946565312"/>
      </c:barChart>
      <c:lineChart>
        <c:grouping val="standard"/>
        <c:varyColors val="0"/>
        <c:ser>
          <c:idx val="2"/>
          <c:order val="2"/>
          <c:tx>
            <c:strRef>
              <c:f>Sheet1!$J$3</c:f>
              <c:strCache>
                <c:ptCount val="1"/>
                <c:pt idx="0">
                  <c:v>მიზნობრვი</c:v>
                </c:pt>
              </c:strCache>
            </c:strRef>
          </c:tx>
          <c:spPr>
            <a:ln w="28575" cap="rnd">
              <a:solidFill>
                <a:schemeClr val="accent3"/>
              </a:solidFill>
              <a:round/>
            </a:ln>
            <a:effectLst/>
          </c:spPr>
          <c:marker>
            <c:symbol val="none"/>
          </c:marker>
          <c:cat>
            <c:strRef>
              <c:f>Sheet1!$G$4:$G$11</c:f>
              <c:strCache>
                <c:ptCount val="8"/>
                <c:pt idx="0">
                  <c:v>იან</c:v>
                </c:pt>
                <c:pt idx="1">
                  <c:v>თებ</c:v>
                </c:pt>
                <c:pt idx="2">
                  <c:v>მარ</c:v>
                </c:pt>
                <c:pt idx="3">
                  <c:v>აპრ</c:v>
                </c:pt>
                <c:pt idx="4">
                  <c:v>მაი</c:v>
                </c:pt>
                <c:pt idx="5">
                  <c:v>ივნ</c:v>
                </c:pt>
                <c:pt idx="6">
                  <c:v>ივლ</c:v>
                </c:pt>
                <c:pt idx="7">
                  <c:v>აგვ</c:v>
                </c:pt>
              </c:strCache>
            </c:strRef>
          </c:cat>
          <c:val>
            <c:numRef>
              <c:f>Sheet1!$J$4:$J$11</c:f>
              <c:numCache>
                <c:formatCode>#,##0.0</c:formatCode>
                <c:ptCount val="8"/>
                <c:pt idx="0">
                  <c:v>3</c:v>
                </c:pt>
                <c:pt idx="1">
                  <c:v>3</c:v>
                </c:pt>
                <c:pt idx="2">
                  <c:v>3</c:v>
                </c:pt>
                <c:pt idx="3">
                  <c:v>3</c:v>
                </c:pt>
                <c:pt idx="4">
                  <c:v>3</c:v>
                </c:pt>
                <c:pt idx="5">
                  <c:v>3</c:v>
                </c:pt>
                <c:pt idx="6">
                  <c:v>3</c:v>
                </c:pt>
                <c:pt idx="7">
                  <c:v>3</c:v>
                </c:pt>
              </c:numCache>
            </c:numRef>
          </c:val>
          <c:smooth val="0"/>
          <c:extLst>
            <c:ext xmlns:c16="http://schemas.microsoft.com/office/drawing/2014/chart" uri="{C3380CC4-5D6E-409C-BE32-E72D297353CC}">
              <c16:uniqueId val="{00000002-0673-421E-8395-B46FD67A877B}"/>
            </c:ext>
          </c:extLst>
        </c:ser>
        <c:dLbls>
          <c:showLegendKey val="0"/>
          <c:showVal val="0"/>
          <c:showCatName val="0"/>
          <c:showSerName val="0"/>
          <c:showPercent val="0"/>
          <c:showBubbleSize val="0"/>
        </c:dLbls>
        <c:marker val="1"/>
        <c:smooth val="0"/>
        <c:axId val="946563648"/>
        <c:axId val="946565312"/>
      </c:lineChart>
      <c:catAx>
        <c:axId val="9465636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565312"/>
        <c:crosses val="autoZero"/>
        <c:auto val="1"/>
        <c:lblAlgn val="ctr"/>
        <c:lblOffset val="100"/>
        <c:noMultiLvlLbl val="0"/>
      </c:catAx>
      <c:valAx>
        <c:axId val="946565312"/>
        <c:scaling>
          <c:orientation val="minMax"/>
        </c:scaling>
        <c:delete val="1"/>
        <c:axPos val="l"/>
        <c:numFmt formatCode="#,##0.0" sourceLinked="1"/>
        <c:majorTickMark val="none"/>
        <c:minorTickMark val="none"/>
        <c:tickLblPos val="nextTo"/>
        <c:crossAx val="946563648"/>
        <c:crosses val="autoZero"/>
        <c:crossBetween val="between"/>
      </c:valAx>
      <c:spPr>
        <a:noFill/>
        <a:ln>
          <a:noFill/>
        </a:ln>
        <a:effectLst/>
      </c:spPr>
    </c:plotArea>
    <c:legend>
      <c:legendPos val="b"/>
      <c:layout>
        <c:manualLayout>
          <c:xMode val="edge"/>
          <c:yMode val="edge"/>
          <c:x val="1.6793002915451896E-2"/>
          <c:y val="0.7990758665048292"/>
          <c:w val="0.98196307094266277"/>
          <c:h val="0.169303580135487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Sheet1!$M$54</c:f>
              <c:strCache>
                <c:ptCount val="1"/>
                <c:pt idx="0">
                  <c:v>წინა წლის შესაბამის თვესთან</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Sheet1!$L$55:$L$67</c:f>
              <c:strCache>
                <c:ptCount val="9"/>
                <c:pt idx="0">
                  <c:v>იან</c:v>
                </c:pt>
                <c:pt idx="1">
                  <c:v>თებ</c:v>
                </c:pt>
                <c:pt idx="2">
                  <c:v>მარ</c:v>
                </c:pt>
                <c:pt idx="3">
                  <c:v>აპრ</c:v>
                </c:pt>
                <c:pt idx="4">
                  <c:v>მაი</c:v>
                </c:pt>
                <c:pt idx="5">
                  <c:v>ივნ</c:v>
                </c:pt>
                <c:pt idx="6">
                  <c:v>ივლ</c:v>
                </c:pt>
                <c:pt idx="7">
                  <c:v>აგვ</c:v>
                </c:pt>
                <c:pt idx="8">
                  <c:v>წლიური</c:v>
                </c:pt>
              </c:strCache>
            </c:strRef>
          </c:cat>
          <c:val>
            <c:numRef>
              <c:f>Sheet1!$M$55:$M$67</c:f>
              <c:numCache>
                <c:formatCode>#,##0.0</c:formatCode>
                <c:ptCount val="9"/>
                <c:pt idx="0">
                  <c:v>5.7</c:v>
                </c:pt>
                <c:pt idx="1">
                  <c:v>2.8</c:v>
                </c:pt>
                <c:pt idx="2">
                  <c:v>-2</c:v>
                </c:pt>
                <c:pt idx="3">
                  <c:v>-16.5</c:v>
                </c:pt>
                <c:pt idx="4">
                  <c:v>-13.5</c:v>
                </c:pt>
                <c:pt idx="5">
                  <c:v>-7.7</c:v>
                </c:pt>
                <c:pt idx="6">
                  <c:v>-5.5</c:v>
                </c:pt>
                <c:pt idx="7">
                  <c:v>-5.3</c:v>
                </c:pt>
              </c:numCache>
            </c:numRef>
          </c:val>
          <c:extLst>
            <c:ext xmlns:c16="http://schemas.microsoft.com/office/drawing/2014/chart" uri="{C3380CC4-5D6E-409C-BE32-E72D297353CC}">
              <c16:uniqueId val="{00000000-3CA7-4BDF-B696-8100B399D09C}"/>
            </c:ext>
          </c:extLst>
        </c:ser>
        <c:ser>
          <c:idx val="2"/>
          <c:order val="1"/>
          <c:tx>
            <c:strRef>
              <c:f>Sheet1!$O$54</c:f>
              <c:strCache>
                <c:ptCount val="1"/>
                <c:pt idx="0">
                  <c:v>წლიური</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Sheet1!$L$55:$L$67</c:f>
              <c:strCache>
                <c:ptCount val="9"/>
                <c:pt idx="0">
                  <c:v>იან</c:v>
                </c:pt>
                <c:pt idx="1">
                  <c:v>თებ</c:v>
                </c:pt>
                <c:pt idx="2">
                  <c:v>მარ</c:v>
                </c:pt>
                <c:pt idx="3">
                  <c:v>აპრ</c:v>
                </c:pt>
                <c:pt idx="4">
                  <c:v>მაი</c:v>
                </c:pt>
                <c:pt idx="5">
                  <c:v>ივნ</c:v>
                </c:pt>
                <c:pt idx="6">
                  <c:v>ივლ</c:v>
                </c:pt>
                <c:pt idx="7">
                  <c:v>აგვ</c:v>
                </c:pt>
                <c:pt idx="8">
                  <c:v>წლიური</c:v>
                </c:pt>
              </c:strCache>
            </c:strRef>
          </c:cat>
          <c:val>
            <c:numRef>
              <c:f>Sheet1!$O$55:$O$67</c:f>
              <c:numCache>
                <c:formatCode>General</c:formatCode>
                <c:ptCount val="9"/>
                <c:pt idx="8" formatCode="#,##0.0">
                  <c:v>-4.9000000000000004</c:v>
                </c:pt>
              </c:numCache>
            </c:numRef>
          </c:val>
          <c:extLst>
            <c:ext xmlns:c16="http://schemas.microsoft.com/office/drawing/2014/chart" uri="{C3380CC4-5D6E-409C-BE32-E72D297353CC}">
              <c16:uniqueId val="{00000001-3CA7-4BDF-B696-8100B399D09C}"/>
            </c:ext>
          </c:extLst>
        </c:ser>
        <c:dLbls>
          <c:showLegendKey val="0"/>
          <c:showVal val="0"/>
          <c:showCatName val="0"/>
          <c:showSerName val="0"/>
          <c:showPercent val="0"/>
          <c:showBubbleSize val="0"/>
        </c:dLbls>
        <c:gapWidth val="0"/>
        <c:axId val="2052563568"/>
        <c:axId val="2052572720"/>
      </c:barChart>
      <c:catAx>
        <c:axId val="2052563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2572720"/>
        <c:crosses val="autoZero"/>
        <c:auto val="1"/>
        <c:lblAlgn val="ctr"/>
        <c:lblOffset val="100"/>
        <c:noMultiLvlLbl val="0"/>
      </c:catAx>
      <c:valAx>
        <c:axId val="2052572720"/>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0525635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'[New Microsoft Excel Worksheet (2).xlsx]Sheet1'!$E$1</c:f>
              <c:strCache>
                <c:ptCount val="1"/>
                <c:pt idx="0">
                  <c:v>პროგნოზი</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Microsoft Excel Worksheet (2).xlsx]Sheet1'!$C$2:$C$12</c:f>
              <c:strCache>
                <c:ptCount val="11"/>
                <c:pt idx="0">
                  <c:v>2010</c:v>
                </c:pt>
                <c:pt idx="1">
                  <c:v>2011</c:v>
                </c:pt>
                <c:pt idx="2">
                  <c:v>2012</c:v>
                </c:pt>
                <c:pt idx="3">
                  <c:v>2013</c:v>
                </c:pt>
                <c:pt idx="4">
                  <c:v>2014</c:v>
                </c:pt>
                <c:pt idx="5">
                  <c:v>2015</c:v>
                </c:pt>
                <c:pt idx="6">
                  <c:v>2016</c:v>
                </c:pt>
                <c:pt idx="7">
                  <c:v>2017</c:v>
                </c:pt>
                <c:pt idx="8">
                  <c:v>2018</c:v>
                </c:pt>
                <c:pt idx="9">
                  <c:v>2019</c:v>
                </c:pt>
                <c:pt idx="10">
                  <c:v>2020პ</c:v>
                </c:pt>
              </c:strCache>
            </c:strRef>
          </c:cat>
          <c:val>
            <c:numRef>
              <c:f>'[New Microsoft Excel Worksheet (2).xlsx]Sheet1'!$E$2:$E$12</c:f>
              <c:numCache>
                <c:formatCode>General</c:formatCode>
                <c:ptCount val="11"/>
                <c:pt idx="10" formatCode="0.0%">
                  <c:v>9.1999999999999998E-2</c:v>
                </c:pt>
              </c:numCache>
            </c:numRef>
          </c:val>
          <c:extLst>
            <c:ext xmlns:c16="http://schemas.microsoft.com/office/drawing/2014/chart" uri="{C3380CC4-5D6E-409C-BE32-E72D297353CC}">
              <c16:uniqueId val="{00000000-0516-4562-B672-8134A25BA3AD}"/>
            </c:ext>
          </c:extLst>
        </c:ser>
        <c:dLbls>
          <c:showLegendKey val="0"/>
          <c:showVal val="1"/>
          <c:showCatName val="0"/>
          <c:showSerName val="0"/>
          <c:showPercent val="0"/>
          <c:showBubbleSize val="0"/>
        </c:dLbls>
        <c:gapWidth val="50"/>
        <c:axId val="298812911"/>
        <c:axId val="226875679"/>
      </c:barChart>
      <c:lineChart>
        <c:grouping val="standard"/>
        <c:varyColors val="0"/>
        <c:ser>
          <c:idx val="0"/>
          <c:order val="0"/>
          <c:tx>
            <c:strRef>
              <c:f>'[New Microsoft Excel Worksheet (2).xlsx]Sheet1'!$D$1</c:f>
              <c:strCache>
                <c:ptCount val="1"/>
                <c:pt idx="0">
                  <c:v>ფაქტობრივი</c:v>
                </c:pt>
              </c:strCache>
            </c:strRef>
          </c:tx>
          <c:spPr>
            <a:ln w="28575" cap="rnd">
              <a:solidFill>
                <a:srgbClr val="009999"/>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Microsoft Excel Worksheet (2).xlsx]Sheet1'!$C$2:$C$12</c:f>
              <c:strCache>
                <c:ptCount val="11"/>
                <c:pt idx="0">
                  <c:v>2010</c:v>
                </c:pt>
                <c:pt idx="1">
                  <c:v>2011</c:v>
                </c:pt>
                <c:pt idx="2">
                  <c:v>2012</c:v>
                </c:pt>
                <c:pt idx="3">
                  <c:v>2013</c:v>
                </c:pt>
                <c:pt idx="4">
                  <c:v>2014</c:v>
                </c:pt>
                <c:pt idx="5">
                  <c:v>2015</c:v>
                </c:pt>
                <c:pt idx="6">
                  <c:v>2016</c:v>
                </c:pt>
                <c:pt idx="7">
                  <c:v>2017</c:v>
                </c:pt>
                <c:pt idx="8">
                  <c:v>2018</c:v>
                </c:pt>
                <c:pt idx="9">
                  <c:v>2019</c:v>
                </c:pt>
                <c:pt idx="10">
                  <c:v>2020პ</c:v>
                </c:pt>
              </c:strCache>
            </c:strRef>
          </c:cat>
          <c:val>
            <c:numRef>
              <c:f>'[New Microsoft Excel Worksheet (2).xlsx]Sheet1'!$D$2:$D$12</c:f>
              <c:numCache>
                <c:formatCode>0.0%</c:formatCode>
                <c:ptCount val="11"/>
                <c:pt idx="0">
                  <c:v>9.8000000000000004E-2</c:v>
                </c:pt>
                <c:pt idx="1">
                  <c:v>0.122</c:v>
                </c:pt>
                <c:pt idx="2">
                  <c:v>0.114</c:v>
                </c:pt>
                <c:pt idx="3">
                  <c:v>5.6000000000000001E-2</c:v>
                </c:pt>
                <c:pt idx="4">
                  <c:v>0.10199999999999999</c:v>
                </c:pt>
                <c:pt idx="5">
                  <c:v>0.11799999999999999</c:v>
                </c:pt>
                <c:pt idx="6">
                  <c:v>0.124</c:v>
                </c:pt>
                <c:pt idx="7">
                  <c:v>8.1000000000000003E-2</c:v>
                </c:pt>
                <c:pt idx="8">
                  <c:v>6.8000000000000005E-2</c:v>
                </c:pt>
                <c:pt idx="9">
                  <c:v>0.05</c:v>
                </c:pt>
              </c:numCache>
            </c:numRef>
          </c:val>
          <c:smooth val="0"/>
          <c:extLst>
            <c:ext xmlns:c16="http://schemas.microsoft.com/office/drawing/2014/chart" uri="{C3380CC4-5D6E-409C-BE32-E72D297353CC}">
              <c16:uniqueId val="{00000001-0516-4562-B672-8134A25BA3AD}"/>
            </c:ext>
          </c:extLst>
        </c:ser>
        <c:dLbls>
          <c:showLegendKey val="0"/>
          <c:showVal val="1"/>
          <c:showCatName val="0"/>
          <c:showSerName val="0"/>
          <c:showPercent val="0"/>
          <c:showBubbleSize val="0"/>
        </c:dLbls>
        <c:marker val="1"/>
        <c:smooth val="0"/>
        <c:axId val="298812911"/>
        <c:axId val="226875679"/>
      </c:lineChart>
      <c:catAx>
        <c:axId val="298812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26875679"/>
        <c:crosses val="autoZero"/>
        <c:auto val="1"/>
        <c:lblAlgn val="ctr"/>
        <c:lblOffset val="100"/>
        <c:noMultiLvlLbl val="0"/>
      </c:catAx>
      <c:valAx>
        <c:axId val="22687567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98812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52331573655104"/>
          <c:y val="5.0925925925925923E-2"/>
          <c:w val="0.84547668426344902"/>
          <c:h val="0.72375875875875872"/>
        </c:manualLayout>
      </c:layout>
      <c:barChart>
        <c:barDir val="col"/>
        <c:grouping val="clustered"/>
        <c:varyColors val="0"/>
        <c:ser>
          <c:idx val="0"/>
          <c:order val="0"/>
          <c:tx>
            <c:strRef>
              <c:f>'[New Microsoft Excel Worksheet (2).xlsx]Sheet1'!$B$24</c:f>
              <c:strCache>
                <c:ptCount val="1"/>
                <c:pt idx="0">
                  <c:v>2009</c:v>
                </c:pt>
              </c:strCache>
            </c:strRef>
          </c:tx>
          <c:spPr>
            <a:solidFill>
              <a:srgbClr val="FF5050"/>
            </a:solidFill>
            <a:ln w="12700">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Microsoft Excel Worksheet (2).xlsx]Sheet1'!$C$23:$D$23</c:f>
              <c:strCache>
                <c:ptCount val="2"/>
                <c:pt idx="0">
                  <c:v>მთავრობის ვალი</c:v>
                </c:pt>
                <c:pt idx="1">
                  <c:v>ფისკალური ბალანსი</c:v>
                </c:pt>
              </c:strCache>
            </c:strRef>
          </c:cat>
          <c:val>
            <c:numRef>
              <c:f>'[New Microsoft Excel Worksheet (2).xlsx]Sheet1'!$C$24:$D$24</c:f>
              <c:numCache>
                <c:formatCode>0.0%</c:formatCode>
                <c:ptCount val="2"/>
                <c:pt idx="0">
                  <c:v>0.105</c:v>
                </c:pt>
                <c:pt idx="1">
                  <c:v>-4.9000000000000002E-2</c:v>
                </c:pt>
              </c:numCache>
            </c:numRef>
          </c:val>
          <c:extLst>
            <c:ext xmlns:c16="http://schemas.microsoft.com/office/drawing/2014/chart" uri="{C3380CC4-5D6E-409C-BE32-E72D297353CC}">
              <c16:uniqueId val="{00000000-34C1-48EB-AB93-808D5DCD17C3}"/>
            </c:ext>
          </c:extLst>
        </c:ser>
        <c:ser>
          <c:idx val="1"/>
          <c:order val="1"/>
          <c:tx>
            <c:strRef>
              <c:f>'[New Microsoft Excel Worksheet (2).xlsx]Sheet1'!$B$25</c:f>
              <c:strCache>
                <c:ptCount val="1"/>
                <c:pt idx="0">
                  <c:v>2020</c:v>
                </c:pt>
              </c:strCache>
            </c:strRef>
          </c:tx>
          <c:spPr>
            <a:solidFill>
              <a:srgbClr val="0099CC"/>
            </a:solidFill>
            <a:ln w="12700">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Microsoft Excel Worksheet (2).xlsx]Sheet1'!$C$23:$D$23</c:f>
              <c:strCache>
                <c:ptCount val="2"/>
                <c:pt idx="0">
                  <c:v>მთავრობის ვალი</c:v>
                </c:pt>
                <c:pt idx="1">
                  <c:v>ფისკალური ბალანსი</c:v>
                </c:pt>
              </c:strCache>
            </c:strRef>
          </c:cat>
          <c:val>
            <c:numRef>
              <c:f>'[New Microsoft Excel Worksheet (2).xlsx]Sheet1'!$C$25:$D$25</c:f>
              <c:numCache>
                <c:formatCode>0.0%</c:formatCode>
                <c:ptCount val="2"/>
                <c:pt idx="0">
                  <c:v>0.187</c:v>
                </c:pt>
                <c:pt idx="1">
                  <c:v>-0.1</c:v>
                </c:pt>
              </c:numCache>
            </c:numRef>
          </c:val>
          <c:extLst>
            <c:ext xmlns:c16="http://schemas.microsoft.com/office/drawing/2014/chart" uri="{C3380CC4-5D6E-409C-BE32-E72D297353CC}">
              <c16:uniqueId val="{00000001-34C1-48EB-AB93-808D5DCD17C3}"/>
            </c:ext>
          </c:extLst>
        </c:ser>
        <c:dLbls>
          <c:dLblPos val="outEnd"/>
          <c:showLegendKey val="0"/>
          <c:showVal val="1"/>
          <c:showCatName val="0"/>
          <c:showSerName val="0"/>
          <c:showPercent val="0"/>
          <c:showBubbleSize val="0"/>
        </c:dLbls>
        <c:gapWidth val="50"/>
        <c:axId val="1466488015"/>
        <c:axId val="1273891247"/>
      </c:barChart>
      <c:catAx>
        <c:axId val="146648801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3891247"/>
        <c:crosses val="autoZero"/>
        <c:auto val="1"/>
        <c:lblAlgn val="ctr"/>
        <c:lblOffset val="100"/>
        <c:noMultiLvlLbl val="0"/>
      </c:catAx>
      <c:valAx>
        <c:axId val="1273891247"/>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66488015"/>
        <c:crosses val="autoZero"/>
        <c:crossBetween val="between"/>
      </c:valAx>
      <c:spPr>
        <a:noFill/>
        <a:ln>
          <a:noFill/>
        </a:ln>
        <a:effectLst/>
      </c:spPr>
    </c:plotArea>
    <c:legend>
      <c:legendPos val="b"/>
      <c:layout>
        <c:manualLayout>
          <c:xMode val="edge"/>
          <c:yMode val="edge"/>
          <c:x val="0.40624496937882765"/>
          <c:y val="0.92187445319335082"/>
          <c:w val="0.26938662644544997"/>
          <c:h val="7.81256256256256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ეკონომიკური ზრდა</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'[2021 FRS Chart sen 17_1.xlsx]Sheet1'!$A$8</c:f>
              <c:strCache>
                <c:ptCount val="1"/>
              </c:strCache>
            </c:strRef>
          </c:tx>
          <c:spPr>
            <a:noFill/>
            <a:ln>
              <a:noFill/>
            </a:ln>
            <a:effectLst/>
          </c:spPr>
          <c:val>
            <c:numRef>
              <c:f>'[2021 FRS Chart sen 17_1.xlsx]Sheet1'!$B$8:$I$8</c:f>
              <c:numCache>
                <c:formatCode>0.0%</c:formatCode>
                <c:ptCount val="8"/>
                <c:pt idx="0">
                  <c:v>4.8433630174096631E-2</c:v>
                </c:pt>
                <c:pt idx="1">
                  <c:v>4.8427379806944781E-2</c:v>
                </c:pt>
                <c:pt idx="2">
                  <c:v>5.147762687887969E-2</c:v>
                </c:pt>
                <c:pt idx="3">
                  <c:v>-5.3524387011121277E-2</c:v>
                </c:pt>
                <c:pt idx="4">
                  <c:v>1.6067623366386917E-2</c:v>
                </c:pt>
                <c:pt idx="5">
                  <c:v>8.2812043543174785E-3</c:v>
                </c:pt>
                <c:pt idx="6">
                  <c:v>2.756881763166491E-3</c:v>
                </c:pt>
                <c:pt idx="7">
                  <c:v>4.2326782086432937E-3</c:v>
                </c:pt>
              </c:numCache>
            </c:numRef>
          </c:val>
          <c:extLst>
            <c:ext xmlns:c16="http://schemas.microsoft.com/office/drawing/2014/chart" uri="{C3380CC4-5D6E-409C-BE32-E72D297353CC}">
              <c16:uniqueId val="{00000000-60EC-4EA2-9478-51F9305D52E0}"/>
            </c:ext>
          </c:extLst>
        </c:ser>
        <c:ser>
          <c:idx val="1"/>
          <c:order val="1"/>
          <c:tx>
            <c:strRef>
              <c:f>'[2021 FRS Chart sen 17_1.xlsx]Sheet1'!$A$9</c:f>
              <c:strCache>
                <c:ptCount val="1"/>
                <c:pt idx="0">
                  <c:v>-95%</c:v>
                </c:pt>
              </c:strCache>
            </c:strRef>
          </c:tx>
          <c:spPr>
            <a:solidFill>
              <a:schemeClr val="accent1">
                <a:lumMod val="20000"/>
                <a:lumOff val="80000"/>
              </a:schemeClr>
            </a:solidFill>
            <a:ln>
              <a:solidFill>
                <a:schemeClr val="accent1">
                  <a:lumMod val="20000"/>
                  <a:lumOff val="80000"/>
                </a:schemeClr>
              </a:solidFill>
            </a:ln>
            <a:effectLst/>
          </c:spPr>
          <c:val>
            <c:numRef>
              <c:f>'[2021 FRS Chart sen 17_1.xlsx]Sheet1'!$B$9:$I$9</c:f>
              <c:numCache>
                <c:formatCode>General</c:formatCode>
                <c:ptCount val="8"/>
                <c:pt idx="3" formatCode="0.0%">
                  <c:v>2.7575066062253406E-3</c:v>
                </c:pt>
                <c:pt idx="4" formatCode="0.0%">
                  <c:v>2.0681299546690055E-2</c:v>
                </c:pt>
                <c:pt idx="5" formatCode="0.0%">
                  <c:v>2.4817559456028062E-2</c:v>
                </c:pt>
                <c:pt idx="6" formatCode="0.0%">
                  <c:v>2.7575066062253403E-2</c:v>
                </c:pt>
                <c:pt idx="7" formatCode="0.0%">
                  <c:v>3.033257266847874E-2</c:v>
                </c:pt>
              </c:numCache>
            </c:numRef>
          </c:val>
          <c:extLst>
            <c:ext xmlns:c16="http://schemas.microsoft.com/office/drawing/2014/chart" uri="{C3380CC4-5D6E-409C-BE32-E72D297353CC}">
              <c16:uniqueId val="{00000001-60EC-4EA2-9478-51F9305D52E0}"/>
            </c:ext>
          </c:extLst>
        </c:ser>
        <c:ser>
          <c:idx val="2"/>
          <c:order val="2"/>
          <c:tx>
            <c:strRef>
              <c:f>'[2021 FRS Chart sen 17_1.xlsx]Sheet1'!$A$10</c:f>
              <c:strCache>
                <c:ptCount val="1"/>
                <c:pt idx="0">
                  <c:v>-60%</c:v>
                </c:pt>
              </c:strCache>
            </c:strRef>
          </c:tx>
          <c:spPr>
            <a:solidFill>
              <a:schemeClr val="accent1">
                <a:lumMod val="40000"/>
                <a:lumOff val="60000"/>
              </a:schemeClr>
            </a:solidFill>
            <a:ln>
              <a:noFill/>
            </a:ln>
            <a:effectLst/>
          </c:spPr>
          <c:val>
            <c:numRef>
              <c:f>'[2021 FRS Chart sen 17_1.xlsx]Sheet1'!$B$10:$I$10</c:f>
              <c:numCache>
                <c:formatCode>General</c:formatCode>
                <c:ptCount val="8"/>
                <c:pt idx="3" formatCode="0.0%">
                  <c:v>9.7107218978908269E-4</c:v>
                </c:pt>
                <c:pt idx="4" formatCode="0.0%">
                  <c:v>7.2830414234181188E-3</c:v>
                </c:pt>
                <c:pt idx="5" formatCode="0.0%">
                  <c:v>8.7396497081017425E-3</c:v>
                </c:pt>
                <c:pt idx="6" formatCode="0.0%">
                  <c:v>9.7107218978908262E-3</c:v>
                </c:pt>
                <c:pt idx="7" formatCode="0.0%">
                  <c:v>1.0681794087679908E-2</c:v>
                </c:pt>
              </c:numCache>
            </c:numRef>
          </c:val>
          <c:extLst>
            <c:ext xmlns:c16="http://schemas.microsoft.com/office/drawing/2014/chart" uri="{C3380CC4-5D6E-409C-BE32-E72D297353CC}">
              <c16:uniqueId val="{00000002-60EC-4EA2-9478-51F9305D52E0}"/>
            </c:ext>
          </c:extLst>
        </c:ser>
        <c:ser>
          <c:idx val="3"/>
          <c:order val="3"/>
          <c:tx>
            <c:strRef>
              <c:f>'[2021 FRS Chart sen 17_1.xlsx]Sheet1'!$A$11</c:f>
              <c:strCache>
                <c:ptCount val="1"/>
                <c:pt idx="0">
                  <c:v>-30%</c:v>
                </c:pt>
              </c:strCache>
            </c:strRef>
          </c:tx>
          <c:spPr>
            <a:solidFill>
              <a:schemeClr val="accent1">
                <a:lumMod val="60000"/>
                <a:lumOff val="40000"/>
              </a:schemeClr>
            </a:solidFill>
            <a:ln>
              <a:noFill/>
            </a:ln>
            <a:effectLst/>
          </c:spPr>
          <c:val>
            <c:numRef>
              <c:f>'[2021 FRS Chart sen 17_1.xlsx]Sheet1'!$B$11:$I$11</c:f>
              <c:numCache>
                <c:formatCode>General</c:formatCode>
                <c:ptCount val="8"/>
                <c:pt idx="3" formatCode="0.0%">
                  <c:v>7.9573552958198677E-4</c:v>
                </c:pt>
                <c:pt idx="4" formatCode="0.0%">
                  <c:v>5.9680164718649009E-3</c:v>
                </c:pt>
                <c:pt idx="5" formatCode="0.0%">
                  <c:v>7.1616197662378806E-3</c:v>
                </c:pt>
                <c:pt idx="6" formatCode="0.0%">
                  <c:v>7.9573552958198679E-3</c:v>
                </c:pt>
                <c:pt idx="7" formatCode="0.0%">
                  <c:v>8.7530908254018543E-3</c:v>
                </c:pt>
              </c:numCache>
            </c:numRef>
          </c:val>
          <c:extLst>
            <c:ext xmlns:c16="http://schemas.microsoft.com/office/drawing/2014/chart" uri="{C3380CC4-5D6E-409C-BE32-E72D297353CC}">
              <c16:uniqueId val="{00000003-60EC-4EA2-9478-51F9305D52E0}"/>
            </c:ext>
          </c:extLst>
        </c:ser>
        <c:ser>
          <c:idx val="4"/>
          <c:order val="4"/>
          <c:tx>
            <c:strRef>
              <c:f>'[2021 FRS Chart sen 17_1.xlsx]Sheet1'!$A$12</c:f>
              <c:strCache>
                <c:ptCount val="1"/>
                <c:pt idx="0">
                  <c:v>+30%</c:v>
                </c:pt>
              </c:strCache>
            </c:strRef>
          </c:tx>
          <c:spPr>
            <a:solidFill>
              <a:schemeClr val="accent1">
                <a:lumMod val="60000"/>
                <a:lumOff val="40000"/>
              </a:schemeClr>
            </a:solidFill>
            <a:ln>
              <a:noFill/>
            </a:ln>
            <a:effectLst/>
          </c:spPr>
          <c:val>
            <c:numRef>
              <c:f>'[2021 FRS Chart sen 17_1.xlsx]Sheet1'!$B$12:$I$12</c:f>
              <c:numCache>
                <c:formatCode>General</c:formatCode>
                <c:ptCount val="8"/>
                <c:pt idx="3" formatCode="0.0%">
                  <c:v>7.9573552958198677E-4</c:v>
                </c:pt>
                <c:pt idx="4" formatCode="0.0%">
                  <c:v>5.9680164718649009E-3</c:v>
                </c:pt>
                <c:pt idx="5" formatCode="0.0%">
                  <c:v>7.1616197662378806E-3</c:v>
                </c:pt>
                <c:pt idx="6" formatCode="0.0%">
                  <c:v>7.9573552958198679E-3</c:v>
                </c:pt>
                <c:pt idx="7" formatCode="0.0%">
                  <c:v>8.7530908254018543E-3</c:v>
                </c:pt>
              </c:numCache>
            </c:numRef>
          </c:val>
          <c:extLst>
            <c:ext xmlns:c16="http://schemas.microsoft.com/office/drawing/2014/chart" uri="{C3380CC4-5D6E-409C-BE32-E72D297353CC}">
              <c16:uniqueId val="{00000004-60EC-4EA2-9478-51F9305D52E0}"/>
            </c:ext>
          </c:extLst>
        </c:ser>
        <c:ser>
          <c:idx val="5"/>
          <c:order val="5"/>
          <c:tx>
            <c:strRef>
              <c:f>'[2021 FRS Chart sen 17_1.xlsx]Sheet1'!$A$13</c:f>
              <c:strCache>
                <c:ptCount val="1"/>
                <c:pt idx="0">
                  <c:v>+60%</c:v>
                </c:pt>
              </c:strCache>
            </c:strRef>
          </c:tx>
          <c:spPr>
            <a:solidFill>
              <a:schemeClr val="accent1">
                <a:lumMod val="40000"/>
                <a:lumOff val="60000"/>
              </a:schemeClr>
            </a:solidFill>
            <a:ln>
              <a:noFill/>
            </a:ln>
            <a:effectLst/>
          </c:spPr>
          <c:val>
            <c:numRef>
              <c:f>'[2021 FRS Chart sen 17_1.xlsx]Sheet1'!$B$13:$I$13</c:f>
              <c:numCache>
                <c:formatCode>General</c:formatCode>
                <c:ptCount val="8"/>
                <c:pt idx="3" formatCode="0.0%">
                  <c:v>9.7107218978908269E-4</c:v>
                </c:pt>
                <c:pt idx="4" formatCode="0.0%">
                  <c:v>7.2830414234181188E-3</c:v>
                </c:pt>
                <c:pt idx="5" formatCode="0.0%">
                  <c:v>8.7396497081017425E-3</c:v>
                </c:pt>
                <c:pt idx="6" formatCode="0.0%">
                  <c:v>9.7107218978908262E-3</c:v>
                </c:pt>
                <c:pt idx="7" formatCode="0.0%">
                  <c:v>1.0681794087679908E-2</c:v>
                </c:pt>
              </c:numCache>
            </c:numRef>
          </c:val>
          <c:extLst>
            <c:ext xmlns:c16="http://schemas.microsoft.com/office/drawing/2014/chart" uri="{C3380CC4-5D6E-409C-BE32-E72D297353CC}">
              <c16:uniqueId val="{00000005-60EC-4EA2-9478-51F9305D52E0}"/>
            </c:ext>
          </c:extLst>
        </c:ser>
        <c:ser>
          <c:idx val="6"/>
          <c:order val="6"/>
          <c:tx>
            <c:strRef>
              <c:f>'[2021 FRS Chart sen 17_1.xlsx]Sheet1'!$A$14</c:f>
              <c:strCache>
                <c:ptCount val="1"/>
                <c:pt idx="0">
                  <c:v>+95%</c:v>
                </c:pt>
              </c:strCache>
            </c:strRef>
          </c:tx>
          <c:spPr>
            <a:solidFill>
              <a:schemeClr val="accent1">
                <a:lumMod val="20000"/>
                <a:lumOff val="80000"/>
              </a:schemeClr>
            </a:solidFill>
            <a:ln>
              <a:noFill/>
            </a:ln>
            <a:effectLst/>
          </c:spPr>
          <c:val>
            <c:numRef>
              <c:f>'[2021 FRS Chart sen 17_1.xlsx]Sheet1'!$B$14:$I$14</c:f>
              <c:numCache>
                <c:formatCode>General</c:formatCode>
                <c:ptCount val="8"/>
                <c:pt idx="3" formatCode="0.0%">
                  <c:v>2.7575066062253406E-3</c:v>
                </c:pt>
                <c:pt idx="4" formatCode="0.0%">
                  <c:v>2.0681299546690055E-2</c:v>
                </c:pt>
                <c:pt idx="5" formatCode="0.0%">
                  <c:v>2.4817559456028062E-2</c:v>
                </c:pt>
                <c:pt idx="6" formatCode="0.0%">
                  <c:v>2.7575066062253403E-2</c:v>
                </c:pt>
                <c:pt idx="7" formatCode="0.0%">
                  <c:v>3.033257266847874E-2</c:v>
                </c:pt>
              </c:numCache>
            </c:numRef>
          </c:val>
          <c:extLst>
            <c:ext xmlns:c16="http://schemas.microsoft.com/office/drawing/2014/chart" uri="{C3380CC4-5D6E-409C-BE32-E72D297353CC}">
              <c16:uniqueId val="{00000006-60EC-4EA2-9478-51F9305D52E0}"/>
            </c:ext>
          </c:extLst>
        </c:ser>
        <c:dLbls>
          <c:showLegendKey val="0"/>
          <c:showVal val="0"/>
          <c:showCatName val="0"/>
          <c:showSerName val="0"/>
          <c:showPercent val="0"/>
          <c:showBubbleSize val="0"/>
        </c:dLbls>
        <c:axId val="234730080"/>
        <c:axId val="234730640"/>
      </c:areaChart>
      <c:lineChart>
        <c:grouping val="standard"/>
        <c:varyColors val="0"/>
        <c:ser>
          <c:idx val="7"/>
          <c:order val="7"/>
          <c:tx>
            <c:strRef>
              <c:f>'[2021 FRS Chart sen 17_1.xlsx]Sheet1'!$A$5</c:f>
              <c:strCache>
                <c:ptCount val="1"/>
                <c:pt idx="0">
                  <c:v>ეკონომიკური ზრდა</c:v>
                </c:pt>
              </c:strCache>
            </c:strRef>
          </c:tx>
          <c:spPr>
            <a:ln w="28575" cap="rnd">
              <a:solidFill>
                <a:schemeClr val="accent1">
                  <a:lumMod val="50000"/>
                </a:schemeClr>
              </a:solidFill>
              <a:round/>
            </a:ln>
            <a:effectLst/>
          </c:spPr>
          <c:marker>
            <c:symbol val="none"/>
          </c:marker>
          <c:cat>
            <c:multiLvlStrRef>
              <c:f>'[2021 FRS Chart sen 17_1.xlsx]Sheet1'!$B$2:$I$3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2017</c:v>
                  </c:pt>
                  <c:pt idx="1">
                    <c:v>2018</c:v>
                  </c:pt>
                  <c:pt idx="2">
                    <c:v>2019</c:v>
                  </c:pt>
                  <c:pt idx="3">
                    <c:v>2020</c:v>
                  </c:pt>
                  <c:pt idx="4">
                    <c:v>2021</c:v>
                  </c:pt>
                  <c:pt idx="5">
                    <c:v>2022</c:v>
                  </c:pt>
                  <c:pt idx="6">
                    <c:v>2023</c:v>
                  </c:pt>
                  <c:pt idx="7">
                    <c:v>2024</c:v>
                  </c:pt>
                </c:lvl>
              </c:multiLvlStrCache>
            </c:multiLvlStrRef>
          </c:cat>
          <c:val>
            <c:numRef>
              <c:f>'[2021 FRS Chart sen 17_1.xlsx]Sheet1'!$B$5:$I$5</c:f>
              <c:numCache>
                <c:formatCode>0.0%</c:formatCode>
                <c:ptCount val="8"/>
                <c:pt idx="0">
                  <c:v>4.8433630174096631E-2</c:v>
                </c:pt>
                <c:pt idx="1">
                  <c:v>4.8427379806944781E-2</c:v>
                </c:pt>
                <c:pt idx="2">
                  <c:v>5.147762687887969E-2</c:v>
                </c:pt>
                <c:pt idx="3">
                  <c:v>-4.9000072685524865E-2</c:v>
                </c:pt>
                <c:pt idx="4">
                  <c:v>4.9999980808359989E-2</c:v>
                </c:pt>
                <c:pt idx="5">
                  <c:v>4.9000033284685163E-2</c:v>
                </c:pt>
                <c:pt idx="6">
                  <c:v>4.8000025019130588E-2</c:v>
                </c:pt>
                <c:pt idx="7">
                  <c:v>5.4000135790203796E-2</c:v>
                </c:pt>
              </c:numCache>
            </c:numRef>
          </c:val>
          <c:smooth val="0"/>
          <c:extLst>
            <c:ext xmlns:c16="http://schemas.microsoft.com/office/drawing/2014/chart" uri="{C3380CC4-5D6E-409C-BE32-E72D297353CC}">
              <c16:uniqueId val="{00000007-60EC-4EA2-9478-51F9305D52E0}"/>
            </c:ext>
          </c:extLst>
        </c:ser>
        <c:dLbls>
          <c:showLegendKey val="0"/>
          <c:showVal val="0"/>
          <c:showCatName val="0"/>
          <c:showSerName val="0"/>
          <c:showPercent val="0"/>
          <c:showBubbleSize val="0"/>
        </c:dLbls>
        <c:marker val="1"/>
        <c:smooth val="0"/>
        <c:axId val="234730080"/>
        <c:axId val="234730640"/>
      </c:lineChart>
      <c:catAx>
        <c:axId val="234730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640"/>
        <c:crosses val="autoZero"/>
        <c:auto val="1"/>
        <c:lblAlgn val="ctr"/>
        <c:lblOffset val="100"/>
        <c:noMultiLvlLbl val="0"/>
      </c:catAx>
      <c:valAx>
        <c:axId val="2347306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080"/>
        <c:crosses val="autoZero"/>
        <c:crossBetween val="between"/>
      </c:valAx>
      <c:spPr>
        <a:noFill/>
        <a:ln>
          <a:noFill/>
        </a:ln>
        <a:effectLst/>
      </c:spPr>
    </c:plotArea>
    <c:legend>
      <c:legendPos val="b"/>
      <c:legendEntry>
        <c:idx val="0"/>
        <c:delete val="1"/>
      </c:legendEntry>
      <c:legendEntry>
        <c:idx val="1"/>
        <c:delete val="1"/>
      </c:legendEntry>
      <c:legendEntry>
        <c:idx val="2"/>
        <c:delete val="1"/>
      </c:legendEntry>
      <c:legendEntry>
        <c:idx val="3"/>
        <c:delete val="1"/>
      </c:legendEntry>
      <c:layout>
        <c:manualLayout>
          <c:xMode val="edge"/>
          <c:yMode val="edge"/>
          <c:x val="1.798387477014475E-2"/>
          <c:y val="0.88653514099522202"/>
          <c:w val="0.98000031433196599"/>
          <c:h val="8.72811365522360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ინფლაცია</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'[2021 FRS Chart sen 17_1.xlsx]Sheet1'!$A$33</c:f>
              <c:strCache>
                <c:ptCount val="1"/>
              </c:strCache>
            </c:strRef>
          </c:tx>
          <c:spPr>
            <a:noFill/>
            <a:ln>
              <a:noFill/>
            </a:ln>
            <a:effectLst/>
          </c:spPr>
          <c:val>
            <c:numRef>
              <c:f>'[2021 FRS Chart sen 17_1.xlsx]Sheet1'!$B$33:$I$33</c:f>
              <c:numCache>
                <c:formatCode>0.0%</c:formatCode>
                <c:ptCount val="8"/>
                <c:pt idx="0">
                  <c:v>6.035309014030088E-2</c:v>
                </c:pt>
                <c:pt idx="1">
                  <c:v>2.6152447139766721E-2</c:v>
                </c:pt>
                <c:pt idx="2">
                  <c:v>4.8528982169673052E-2</c:v>
                </c:pt>
                <c:pt idx="3">
                  <c:v>4.6446090434422826E-2</c:v>
                </c:pt>
                <c:pt idx="4">
                  <c:v>1.3902742697614389E-2</c:v>
                </c:pt>
                <c:pt idx="5">
                  <c:v>7.3789110383617601E-3</c:v>
                </c:pt>
                <c:pt idx="6">
                  <c:v>7.3777830759192004E-3</c:v>
                </c:pt>
                <c:pt idx="7">
                  <c:v>7.378898248112456E-3</c:v>
                </c:pt>
              </c:numCache>
            </c:numRef>
          </c:val>
          <c:extLst>
            <c:ext xmlns:c16="http://schemas.microsoft.com/office/drawing/2014/chart" uri="{C3380CC4-5D6E-409C-BE32-E72D297353CC}">
              <c16:uniqueId val="{00000000-44FE-478A-A3CA-C36F8BB91100}"/>
            </c:ext>
          </c:extLst>
        </c:ser>
        <c:ser>
          <c:idx val="1"/>
          <c:order val="1"/>
          <c:tx>
            <c:strRef>
              <c:f>'[2021 FRS Chart sen 17_1.xlsx]Sheet1'!$A$34</c:f>
              <c:strCache>
                <c:ptCount val="1"/>
                <c:pt idx="0">
                  <c:v>-95%</c:v>
                </c:pt>
              </c:strCache>
            </c:strRef>
          </c:tx>
          <c:spPr>
            <a:solidFill>
              <a:schemeClr val="accent1">
                <a:lumMod val="20000"/>
                <a:lumOff val="80000"/>
              </a:schemeClr>
            </a:solidFill>
            <a:ln>
              <a:noFill/>
            </a:ln>
            <a:effectLst/>
          </c:spPr>
          <c:val>
            <c:numRef>
              <c:f>'[2021 FRS Chart sen 17_1.xlsx]Sheet1'!$B$34:$I$34</c:f>
              <c:numCache>
                <c:formatCode>General</c:formatCode>
                <c:ptCount val="8"/>
                <c:pt idx="3" formatCode="0.0%">
                  <c:v>2.7575066062253406E-3</c:v>
                </c:pt>
                <c:pt idx="4" formatCode="0.0%">
                  <c:v>1.1030026424901362E-2</c:v>
                </c:pt>
                <c:pt idx="5" formatCode="0.0%">
                  <c:v>1.3787533031126701E-2</c:v>
                </c:pt>
                <c:pt idx="6" formatCode="0.0%">
                  <c:v>1.3787533031126701E-2</c:v>
                </c:pt>
                <c:pt idx="7" formatCode="0.0%">
                  <c:v>1.3787533031126701E-2</c:v>
                </c:pt>
              </c:numCache>
            </c:numRef>
          </c:val>
          <c:extLst>
            <c:ext xmlns:c16="http://schemas.microsoft.com/office/drawing/2014/chart" uri="{C3380CC4-5D6E-409C-BE32-E72D297353CC}">
              <c16:uniqueId val="{00000001-44FE-478A-A3CA-C36F8BB91100}"/>
            </c:ext>
          </c:extLst>
        </c:ser>
        <c:ser>
          <c:idx val="2"/>
          <c:order val="2"/>
          <c:tx>
            <c:strRef>
              <c:f>'[2021 FRS Chart sen 17_1.xlsx]Sheet1'!$A$35</c:f>
              <c:strCache>
                <c:ptCount val="1"/>
                <c:pt idx="0">
                  <c:v>-60%</c:v>
                </c:pt>
              </c:strCache>
            </c:strRef>
          </c:tx>
          <c:spPr>
            <a:solidFill>
              <a:schemeClr val="accent1">
                <a:lumMod val="40000"/>
                <a:lumOff val="60000"/>
              </a:schemeClr>
            </a:solidFill>
            <a:ln>
              <a:noFill/>
            </a:ln>
            <a:effectLst/>
          </c:spPr>
          <c:val>
            <c:numRef>
              <c:f>'[2021 FRS Chart sen 17_1.xlsx]Sheet1'!$B$35:$I$35</c:f>
              <c:numCache>
                <c:formatCode>General</c:formatCode>
                <c:ptCount val="8"/>
                <c:pt idx="3" formatCode="0.0%">
                  <c:v>9.7107218978908269E-4</c:v>
                </c:pt>
                <c:pt idx="4" formatCode="0.0%">
                  <c:v>3.8842887591563307E-3</c:v>
                </c:pt>
                <c:pt idx="5" formatCode="0.0%">
                  <c:v>4.8553609489454131E-3</c:v>
                </c:pt>
                <c:pt idx="6" formatCode="0.0%">
                  <c:v>4.8553609489454131E-3</c:v>
                </c:pt>
                <c:pt idx="7" formatCode="0.0%">
                  <c:v>4.8553609489454131E-3</c:v>
                </c:pt>
              </c:numCache>
            </c:numRef>
          </c:val>
          <c:extLst>
            <c:ext xmlns:c16="http://schemas.microsoft.com/office/drawing/2014/chart" uri="{C3380CC4-5D6E-409C-BE32-E72D297353CC}">
              <c16:uniqueId val="{00000002-44FE-478A-A3CA-C36F8BB91100}"/>
            </c:ext>
          </c:extLst>
        </c:ser>
        <c:ser>
          <c:idx val="3"/>
          <c:order val="3"/>
          <c:tx>
            <c:strRef>
              <c:f>'[2021 FRS Chart sen 17_1.xlsx]Sheet1'!$A$36</c:f>
              <c:strCache>
                <c:ptCount val="1"/>
                <c:pt idx="0">
                  <c:v>-30%</c:v>
                </c:pt>
              </c:strCache>
            </c:strRef>
          </c:tx>
          <c:spPr>
            <a:solidFill>
              <a:schemeClr val="accent1">
                <a:lumMod val="60000"/>
                <a:lumOff val="40000"/>
              </a:schemeClr>
            </a:solidFill>
            <a:ln>
              <a:noFill/>
            </a:ln>
            <a:effectLst/>
          </c:spPr>
          <c:val>
            <c:numRef>
              <c:f>'[2021 FRS Chart sen 17_1.xlsx]Sheet1'!$B$36:$I$36</c:f>
              <c:numCache>
                <c:formatCode>General</c:formatCode>
                <c:ptCount val="8"/>
                <c:pt idx="3" formatCode="0.0%">
                  <c:v>7.9573552958198677E-4</c:v>
                </c:pt>
                <c:pt idx="4" formatCode="0.0%">
                  <c:v>3.1829421183279471E-3</c:v>
                </c:pt>
                <c:pt idx="5" formatCode="0.0%">
                  <c:v>3.9786776479099339E-3</c:v>
                </c:pt>
                <c:pt idx="6" formatCode="0.0%">
                  <c:v>3.9786776479099339E-3</c:v>
                </c:pt>
                <c:pt idx="7" formatCode="0.0%">
                  <c:v>3.9786776479099339E-3</c:v>
                </c:pt>
              </c:numCache>
            </c:numRef>
          </c:val>
          <c:extLst>
            <c:ext xmlns:c16="http://schemas.microsoft.com/office/drawing/2014/chart" uri="{C3380CC4-5D6E-409C-BE32-E72D297353CC}">
              <c16:uniqueId val="{00000003-44FE-478A-A3CA-C36F8BB91100}"/>
            </c:ext>
          </c:extLst>
        </c:ser>
        <c:ser>
          <c:idx val="4"/>
          <c:order val="4"/>
          <c:tx>
            <c:strRef>
              <c:f>'[2021 FRS Chart sen 17_1.xlsx]Sheet1'!$A$37</c:f>
              <c:strCache>
                <c:ptCount val="1"/>
                <c:pt idx="0">
                  <c:v>+30%</c:v>
                </c:pt>
              </c:strCache>
            </c:strRef>
          </c:tx>
          <c:spPr>
            <a:solidFill>
              <a:schemeClr val="accent1">
                <a:lumMod val="60000"/>
                <a:lumOff val="40000"/>
              </a:schemeClr>
            </a:solidFill>
            <a:ln>
              <a:noFill/>
            </a:ln>
            <a:effectLst/>
          </c:spPr>
          <c:val>
            <c:numRef>
              <c:f>'[2021 FRS Chart sen 17_1.xlsx]Sheet1'!$B$37:$I$37</c:f>
              <c:numCache>
                <c:formatCode>General</c:formatCode>
                <c:ptCount val="8"/>
                <c:pt idx="3" formatCode="0.0%">
                  <c:v>7.9573552958198677E-4</c:v>
                </c:pt>
                <c:pt idx="4" formatCode="0.0%">
                  <c:v>3.1829421183279471E-3</c:v>
                </c:pt>
                <c:pt idx="5" formatCode="0.0%">
                  <c:v>3.9786776479099339E-3</c:v>
                </c:pt>
                <c:pt idx="6" formatCode="0.0%">
                  <c:v>3.9786776479099339E-3</c:v>
                </c:pt>
                <c:pt idx="7" formatCode="0.0%">
                  <c:v>3.9786776479099339E-3</c:v>
                </c:pt>
              </c:numCache>
            </c:numRef>
          </c:val>
          <c:extLst>
            <c:ext xmlns:c16="http://schemas.microsoft.com/office/drawing/2014/chart" uri="{C3380CC4-5D6E-409C-BE32-E72D297353CC}">
              <c16:uniqueId val="{00000004-44FE-478A-A3CA-C36F8BB91100}"/>
            </c:ext>
          </c:extLst>
        </c:ser>
        <c:ser>
          <c:idx val="5"/>
          <c:order val="5"/>
          <c:tx>
            <c:strRef>
              <c:f>'[2021 FRS Chart sen 17_1.xlsx]Sheet1'!$A$38</c:f>
              <c:strCache>
                <c:ptCount val="1"/>
                <c:pt idx="0">
                  <c:v>+60%</c:v>
                </c:pt>
              </c:strCache>
            </c:strRef>
          </c:tx>
          <c:spPr>
            <a:solidFill>
              <a:schemeClr val="accent1">
                <a:lumMod val="40000"/>
                <a:lumOff val="60000"/>
              </a:schemeClr>
            </a:solidFill>
            <a:ln>
              <a:noFill/>
            </a:ln>
            <a:effectLst/>
          </c:spPr>
          <c:val>
            <c:numRef>
              <c:f>'[2021 FRS Chart sen 17_1.xlsx]Sheet1'!$B$38:$I$38</c:f>
              <c:numCache>
                <c:formatCode>General</c:formatCode>
                <c:ptCount val="8"/>
                <c:pt idx="3" formatCode="0.0%">
                  <c:v>9.7107218978908269E-4</c:v>
                </c:pt>
                <c:pt idx="4" formatCode="0.0%">
                  <c:v>3.8842887591563307E-3</c:v>
                </c:pt>
                <c:pt idx="5" formatCode="0.0%">
                  <c:v>4.8553609489454131E-3</c:v>
                </c:pt>
                <c:pt idx="6" formatCode="0.0%">
                  <c:v>4.8553609489454131E-3</c:v>
                </c:pt>
                <c:pt idx="7" formatCode="0.0%">
                  <c:v>4.8553609489454131E-3</c:v>
                </c:pt>
              </c:numCache>
            </c:numRef>
          </c:val>
          <c:extLst>
            <c:ext xmlns:c16="http://schemas.microsoft.com/office/drawing/2014/chart" uri="{C3380CC4-5D6E-409C-BE32-E72D297353CC}">
              <c16:uniqueId val="{00000005-44FE-478A-A3CA-C36F8BB91100}"/>
            </c:ext>
          </c:extLst>
        </c:ser>
        <c:ser>
          <c:idx val="6"/>
          <c:order val="6"/>
          <c:tx>
            <c:strRef>
              <c:f>'[2021 FRS Chart sen 17_1.xlsx]Sheet1'!$A$39</c:f>
              <c:strCache>
                <c:ptCount val="1"/>
                <c:pt idx="0">
                  <c:v>+95%</c:v>
                </c:pt>
              </c:strCache>
            </c:strRef>
          </c:tx>
          <c:spPr>
            <a:solidFill>
              <a:schemeClr val="accent1">
                <a:lumMod val="20000"/>
                <a:lumOff val="80000"/>
              </a:schemeClr>
            </a:solidFill>
            <a:ln>
              <a:noFill/>
            </a:ln>
            <a:effectLst/>
          </c:spPr>
          <c:val>
            <c:numRef>
              <c:f>'[2021 FRS Chart sen 17_1.xlsx]Sheet1'!$B$39:$I$39</c:f>
              <c:numCache>
                <c:formatCode>General</c:formatCode>
                <c:ptCount val="8"/>
                <c:pt idx="3" formatCode="0.0%">
                  <c:v>2.7575066062253406E-3</c:v>
                </c:pt>
                <c:pt idx="4" formatCode="0.0%">
                  <c:v>1.1030026424901362E-2</c:v>
                </c:pt>
                <c:pt idx="5" formatCode="0.0%">
                  <c:v>1.3787533031126701E-2</c:v>
                </c:pt>
                <c:pt idx="6" formatCode="0.0%">
                  <c:v>1.3787533031126701E-2</c:v>
                </c:pt>
                <c:pt idx="7" formatCode="0.0%">
                  <c:v>1.3787533031126701E-2</c:v>
                </c:pt>
              </c:numCache>
            </c:numRef>
          </c:val>
          <c:extLst>
            <c:ext xmlns:c16="http://schemas.microsoft.com/office/drawing/2014/chart" uri="{C3380CC4-5D6E-409C-BE32-E72D297353CC}">
              <c16:uniqueId val="{00000006-44FE-478A-A3CA-C36F8BB91100}"/>
            </c:ext>
          </c:extLst>
        </c:ser>
        <c:dLbls>
          <c:showLegendKey val="0"/>
          <c:showVal val="0"/>
          <c:showCatName val="0"/>
          <c:showSerName val="0"/>
          <c:showPercent val="0"/>
          <c:showBubbleSize val="0"/>
        </c:dLbls>
        <c:axId val="233167088"/>
        <c:axId val="233165968"/>
      </c:areaChart>
      <c:lineChart>
        <c:grouping val="standard"/>
        <c:varyColors val="0"/>
        <c:ser>
          <c:idx val="7"/>
          <c:order val="7"/>
          <c:tx>
            <c:strRef>
              <c:f>'[2021 FRS Chart sen 17_1.xlsx]Sheet1'!$A$30</c:f>
              <c:strCache>
                <c:ptCount val="1"/>
                <c:pt idx="0">
                  <c:v>ინფლაცია</c:v>
                </c:pt>
              </c:strCache>
            </c:strRef>
          </c:tx>
          <c:spPr>
            <a:ln w="28575" cap="rnd">
              <a:solidFill>
                <a:schemeClr val="accent1">
                  <a:lumMod val="50000"/>
                </a:schemeClr>
              </a:solidFill>
              <a:round/>
            </a:ln>
            <a:effectLst/>
          </c:spPr>
          <c:marker>
            <c:symbol val="none"/>
          </c:marker>
          <c:cat>
            <c:multiLvlStrRef>
              <c:f>'[2021 FRS Chart sen 17_1.xlsx]Sheet1'!$B$2:$I$3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2017</c:v>
                  </c:pt>
                  <c:pt idx="1">
                    <c:v>2018</c:v>
                  </c:pt>
                  <c:pt idx="2">
                    <c:v>2019</c:v>
                  </c:pt>
                  <c:pt idx="3">
                    <c:v>2020</c:v>
                  </c:pt>
                  <c:pt idx="4">
                    <c:v>2021</c:v>
                  </c:pt>
                  <c:pt idx="5">
                    <c:v>2022</c:v>
                  </c:pt>
                  <c:pt idx="6">
                    <c:v>2023</c:v>
                  </c:pt>
                  <c:pt idx="7">
                    <c:v>2024</c:v>
                  </c:pt>
                </c:lvl>
              </c:multiLvlStrCache>
            </c:multiLvlStrRef>
          </c:cat>
          <c:val>
            <c:numRef>
              <c:f>'[2021 FRS Chart sen 17_1.xlsx]Sheet1'!$B$30:$I$30</c:f>
              <c:numCache>
                <c:formatCode>0.0%</c:formatCode>
                <c:ptCount val="8"/>
                <c:pt idx="0">
                  <c:v>6.035309014030088E-2</c:v>
                </c:pt>
                <c:pt idx="1">
                  <c:v>2.6152447139766721E-2</c:v>
                </c:pt>
                <c:pt idx="2">
                  <c:v>4.8528982169673052E-2</c:v>
                </c:pt>
                <c:pt idx="3">
                  <c:v>5.0970404760019239E-2</c:v>
                </c:pt>
                <c:pt idx="4">
                  <c:v>3.2000000000000028E-2</c:v>
                </c:pt>
                <c:pt idx="5">
                  <c:v>3.0000482666343808E-2</c:v>
                </c:pt>
                <c:pt idx="6">
                  <c:v>2.9999354703901249E-2</c:v>
                </c:pt>
                <c:pt idx="7">
                  <c:v>3.0000469876094504E-2</c:v>
                </c:pt>
              </c:numCache>
            </c:numRef>
          </c:val>
          <c:smooth val="0"/>
          <c:extLst>
            <c:ext xmlns:c16="http://schemas.microsoft.com/office/drawing/2014/chart" uri="{C3380CC4-5D6E-409C-BE32-E72D297353CC}">
              <c16:uniqueId val="{00000007-44FE-478A-A3CA-C36F8BB91100}"/>
            </c:ext>
          </c:extLst>
        </c:ser>
        <c:dLbls>
          <c:showLegendKey val="0"/>
          <c:showVal val="0"/>
          <c:showCatName val="0"/>
          <c:showSerName val="0"/>
          <c:showPercent val="0"/>
          <c:showBubbleSize val="0"/>
        </c:dLbls>
        <c:marker val="1"/>
        <c:smooth val="0"/>
        <c:axId val="233167088"/>
        <c:axId val="233165968"/>
      </c:lineChart>
      <c:catAx>
        <c:axId val="233167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5968"/>
        <c:crosses val="autoZero"/>
        <c:auto val="1"/>
        <c:lblAlgn val="ctr"/>
        <c:lblOffset val="100"/>
        <c:noMultiLvlLbl val="0"/>
      </c:catAx>
      <c:valAx>
        <c:axId val="2331659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7088"/>
        <c:crosses val="autoZero"/>
        <c:crossBetween val="between"/>
      </c:valAx>
      <c:spPr>
        <a:noFill/>
        <a:ln>
          <a:noFill/>
        </a:ln>
        <a:effectLst/>
      </c:spPr>
    </c:plotArea>
    <c:legend>
      <c:legendPos val="b"/>
      <c:legendEntry>
        <c:idx val="0"/>
        <c:delete val="1"/>
      </c:legendEntry>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შემოსავლები</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'[2021 FRS Chart sen 17_1.xlsx]Sheet1'!$A$61</c:f>
              <c:strCache>
                <c:ptCount val="1"/>
              </c:strCache>
            </c:strRef>
          </c:tx>
          <c:spPr>
            <a:noFill/>
            <a:ln>
              <a:noFill/>
            </a:ln>
            <a:effectLst/>
          </c:spPr>
          <c:val>
            <c:numRef>
              <c:f>'[2021 FRS Chart sen 17_1.xlsx]Sheet1'!$B$61:$I$61</c:f>
              <c:numCache>
                <c:formatCode>0.0</c:formatCode>
                <c:ptCount val="8"/>
                <c:pt idx="0">
                  <c:v>10921.173906980001</c:v>
                </c:pt>
                <c:pt idx="1">
                  <c:v>11822.151901180001</c:v>
                </c:pt>
                <c:pt idx="2">
                  <c:v>12907.343685770002</c:v>
                </c:pt>
                <c:pt idx="3">
                  <c:v>12163</c:v>
                </c:pt>
                <c:pt idx="4">
                  <c:v>11936.97920816941</c:v>
                </c:pt>
                <c:pt idx="5">
                  <c:v>13100.406950178423</c:v>
                </c:pt>
                <c:pt idx="6">
                  <c:v>14449.84274747093</c:v>
                </c:pt>
                <c:pt idx="7">
                  <c:v>15729.086825788534</c:v>
                </c:pt>
              </c:numCache>
            </c:numRef>
          </c:val>
          <c:extLst>
            <c:ext xmlns:c16="http://schemas.microsoft.com/office/drawing/2014/chart" uri="{C3380CC4-5D6E-409C-BE32-E72D297353CC}">
              <c16:uniqueId val="{00000000-323A-4EDB-8D33-D5056788BAF7}"/>
            </c:ext>
          </c:extLst>
        </c:ser>
        <c:ser>
          <c:idx val="1"/>
          <c:order val="1"/>
          <c:tx>
            <c:strRef>
              <c:f>'[2021 FRS Chart sen 17_1.xlsx]Sheet1'!$A$62</c:f>
              <c:strCache>
                <c:ptCount val="1"/>
                <c:pt idx="0">
                  <c:v>-95%</c:v>
                </c:pt>
              </c:strCache>
            </c:strRef>
          </c:tx>
          <c:spPr>
            <a:solidFill>
              <a:schemeClr val="accent1">
                <a:lumMod val="20000"/>
                <a:lumOff val="80000"/>
              </a:schemeClr>
            </a:solidFill>
            <a:ln>
              <a:noFill/>
            </a:ln>
            <a:effectLst/>
          </c:spPr>
          <c:val>
            <c:numRef>
              <c:f>'[2021 FRS Chart sen 17_1.xlsx]Sheet1'!$B$62:$I$62</c:f>
              <c:numCache>
                <c:formatCode>General</c:formatCode>
                <c:ptCount val="8"/>
                <c:pt idx="3" formatCode="0.0">
                  <c:v>0</c:v>
                </c:pt>
                <c:pt idx="4" formatCode="0.0">
                  <c:v>1016.6354549620607</c:v>
                </c:pt>
                <c:pt idx="5" formatCode="0.0">
                  <c:v>1115.7209833177899</c:v>
                </c:pt>
                <c:pt idx="6" formatCode="0.0">
                  <c:v>1230.6482401889145</c:v>
                </c:pt>
                <c:pt idx="7" formatCode="0.0">
                  <c:v>1339.5974862995126</c:v>
                </c:pt>
              </c:numCache>
            </c:numRef>
          </c:val>
          <c:extLst>
            <c:ext xmlns:c16="http://schemas.microsoft.com/office/drawing/2014/chart" uri="{C3380CC4-5D6E-409C-BE32-E72D297353CC}">
              <c16:uniqueId val="{00000001-323A-4EDB-8D33-D5056788BAF7}"/>
            </c:ext>
          </c:extLst>
        </c:ser>
        <c:ser>
          <c:idx val="2"/>
          <c:order val="2"/>
          <c:tx>
            <c:strRef>
              <c:f>'[2021 FRS Chart sen 17_1.xlsx]Sheet1'!$A$63</c:f>
              <c:strCache>
                <c:ptCount val="1"/>
                <c:pt idx="0">
                  <c:v>-60%</c:v>
                </c:pt>
              </c:strCache>
            </c:strRef>
          </c:tx>
          <c:spPr>
            <a:solidFill>
              <a:schemeClr val="accent1">
                <a:lumMod val="40000"/>
                <a:lumOff val="60000"/>
              </a:schemeClr>
            </a:solidFill>
            <a:ln>
              <a:noFill/>
            </a:ln>
            <a:effectLst/>
          </c:spPr>
          <c:val>
            <c:numRef>
              <c:f>'[2021 FRS Chart sen 17_1.xlsx]Sheet1'!$B$63:$I$63</c:f>
              <c:numCache>
                <c:formatCode>General</c:formatCode>
                <c:ptCount val="8"/>
                <c:pt idx="3" formatCode="0.0">
                  <c:v>0</c:v>
                </c:pt>
                <c:pt idx="4" formatCode="0.0">
                  <c:v>358.01416222846711</c:v>
                </c:pt>
                <c:pt idx="5" formatCode="0.0">
                  <c:v>392.90771453386566</c:v>
                </c:pt>
                <c:pt idx="6" formatCode="0.0">
                  <c:v>433.38002482474275</c:v>
                </c:pt>
                <c:pt idx="7" formatCode="0.0">
                  <c:v>471.74714342298643</c:v>
                </c:pt>
              </c:numCache>
            </c:numRef>
          </c:val>
          <c:extLst>
            <c:ext xmlns:c16="http://schemas.microsoft.com/office/drawing/2014/chart" uri="{C3380CC4-5D6E-409C-BE32-E72D297353CC}">
              <c16:uniqueId val="{00000002-323A-4EDB-8D33-D5056788BAF7}"/>
            </c:ext>
          </c:extLst>
        </c:ser>
        <c:ser>
          <c:idx val="3"/>
          <c:order val="3"/>
          <c:tx>
            <c:strRef>
              <c:f>'[2021 FRS Chart sen 17_1.xlsx]Sheet1'!$A$64</c:f>
              <c:strCache>
                <c:ptCount val="1"/>
                <c:pt idx="0">
                  <c:v>-30%</c:v>
                </c:pt>
              </c:strCache>
            </c:strRef>
          </c:tx>
          <c:spPr>
            <a:solidFill>
              <a:schemeClr val="accent1">
                <a:lumMod val="60000"/>
                <a:lumOff val="40000"/>
              </a:schemeClr>
            </a:solidFill>
            <a:ln>
              <a:noFill/>
            </a:ln>
            <a:effectLst/>
          </c:spPr>
          <c:val>
            <c:numRef>
              <c:f>'[2021 FRS Chart sen 17_1.xlsx]Sheet1'!$B$64:$I$64</c:f>
              <c:numCache>
                <c:formatCode>General</c:formatCode>
                <c:ptCount val="8"/>
                <c:pt idx="3" formatCode="0.0">
                  <c:v>0</c:v>
                </c:pt>
                <c:pt idx="4" formatCode="0.0">
                  <c:v>293.37117464006218</c:v>
                </c:pt>
                <c:pt idx="5" formatCode="0.0">
                  <c:v>321.96435196992053</c:v>
                </c:pt>
                <c:pt idx="6" formatCode="0.0">
                  <c:v>355.12898751541235</c:v>
                </c:pt>
                <c:pt idx="7" formatCode="0.0">
                  <c:v>386.56854448896701</c:v>
                </c:pt>
              </c:numCache>
            </c:numRef>
          </c:val>
          <c:extLst>
            <c:ext xmlns:c16="http://schemas.microsoft.com/office/drawing/2014/chart" uri="{C3380CC4-5D6E-409C-BE32-E72D297353CC}">
              <c16:uniqueId val="{00000003-323A-4EDB-8D33-D5056788BAF7}"/>
            </c:ext>
          </c:extLst>
        </c:ser>
        <c:ser>
          <c:idx val="4"/>
          <c:order val="4"/>
          <c:tx>
            <c:strRef>
              <c:f>'[2021 FRS Chart sen 17_1.xlsx]Sheet1'!$A$65</c:f>
              <c:strCache>
                <c:ptCount val="1"/>
                <c:pt idx="0">
                  <c:v>+30%</c:v>
                </c:pt>
              </c:strCache>
            </c:strRef>
          </c:tx>
          <c:spPr>
            <a:solidFill>
              <a:schemeClr val="accent1">
                <a:lumMod val="60000"/>
                <a:lumOff val="40000"/>
              </a:schemeClr>
            </a:solidFill>
            <a:ln>
              <a:noFill/>
            </a:ln>
            <a:effectLst/>
          </c:spPr>
          <c:val>
            <c:numRef>
              <c:f>'[2021 FRS Chart sen 17_1.xlsx]Sheet1'!$B$65:$I$65</c:f>
              <c:numCache>
                <c:formatCode>General</c:formatCode>
                <c:ptCount val="8"/>
                <c:pt idx="3" formatCode="0.0">
                  <c:v>0</c:v>
                </c:pt>
                <c:pt idx="4" formatCode="0.0">
                  <c:v>293.37117464006218</c:v>
                </c:pt>
                <c:pt idx="5" formatCode="0.0">
                  <c:v>321.96435196992053</c:v>
                </c:pt>
                <c:pt idx="6" formatCode="0.0">
                  <c:v>355.12898751541235</c:v>
                </c:pt>
                <c:pt idx="7" formatCode="0.0">
                  <c:v>386.56854448896701</c:v>
                </c:pt>
              </c:numCache>
            </c:numRef>
          </c:val>
          <c:extLst>
            <c:ext xmlns:c16="http://schemas.microsoft.com/office/drawing/2014/chart" uri="{C3380CC4-5D6E-409C-BE32-E72D297353CC}">
              <c16:uniqueId val="{00000004-323A-4EDB-8D33-D5056788BAF7}"/>
            </c:ext>
          </c:extLst>
        </c:ser>
        <c:ser>
          <c:idx val="5"/>
          <c:order val="5"/>
          <c:tx>
            <c:strRef>
              <c:f>'[2021 FRS Chart sen 17_1.xlsx]Sheet1'!$A$66</c:f>
              <c:strCache>
                <c:ptCount val="1"/>
                <c:pt idx="0">
                  <c:v>+60%</c:v>
                </c:pt>
              </c:strCache>
            </c:strRef>
          </c:tx>
          <c:spPr>
            <a:solidFill>
              <a:schemeClr val="accent1">
                <a:lumMod val="40000"/>
                <a:lumOff val="60000"/>
              </a:schemeClr>
            </a:solidFill>
            <a:ln>
              <a:noFill/>
            </a:ln>
            <a:effectLst/>
          </c:spPr>
          <c:val>
            <c:numRef>
              <c:f>'[2021 FRS Chart sen 17_1.xlsx]Sheet1'!$B$66:$I$66</c:f>
              <c:numCache>
                <c:formatCode>General</c:formatCode>
                <c:ptCount val="8"/>
                <c:pt idx="3" formatCode="0.0">
                  <c:v>0</c:v>
                </c:pt>
                <c:pt idx="4" formatCode="0.0">
                  <c:v>358.01416222846711</c:v>
                </c:pt>
                <c:pt idx="5" formatCode="0.0">
                  <c:v>392.90771453386566</c:v>
                </c:pt>
                <c:pt idx="6" formatCode="0.0">
                  <c:v>433.38002482474275</c:v>
                </c:pt>
                <c:pt idx="7" formatCode="0.0">
                  <c:v>471.74714342298643</c:v>
                </c:pt>
              </c:numCache>
            </c:numRef>
          </c:val>
          <c:extLst>
            <c:ext xmlns:c16="http://schemas.microsoft.com/office/drawing/2014/chart" uri="{C3380CC4-5D6E-409C-BE32-E72D297353CC}">
              <c16:uniqueId val="{00000005-323A-4EDB-8D33-D5056788BAF7}"/>
            </c:ext>
          </c:extLst>
        </c:ser>
        <c:ser>
          <c:idx val="6"/>
          <c:order val="6"/>
          <c:tx>
            <c:strRef>
              <c:f>'[2021 FRS Chart sen 17_1.xlsx]Sheet1'!$A$67</c:f>
              <c:strCache>
                <c:ptCount val="1"/>
                <c:pt idx="0">
                  <c:v>+95%</c:v>
                </c:pt>
              </c:strCache>
            </c:strRef>
          </c:tx>
          <c:spPr>
            <a:solidFill>
              <a:schemeClr val="accent1">
                <a:lumMod val="20000"/>
                <a:lumOff val="80000"/>
              </a:schemeClr>
            </a:solidFill>
            <a:ln>
              <a:noFill/>
            </a:ln>
            <a:effectLst/>
          </c:spPr>
          <c:val>
            <c:numRef>
              <c:f>'[2021 FRS Chart sen 17_1.xlsx]Sheet1'!$B$67:$I$67</c:f>
              <c:numCache>
                <c:formatCode>General</c:formatCode>
                <c:ptCount val="8"/>
                <c:pt idx="3" formatCode="0.0">
                  <c:v>0</c:v>
                </c:pt>
                <c:pt idx="4" formatCode="0.0">
                  <c:v>1016.6354549620607</c:v>
                </c:pt>
                <c:pt idx="5" formatCode="0.0">
                  <c:v>1115.7209833177899</c:v>
                </c:pt>
                <c:pt idx="6" formatCode="0.0">
                  <c:v>1230.6482401889145</c:v>
                </c:pt>
                <c:pt idx="7" formatCode="0.0">
                  <c:v>1339.5974862995126</c:v>
                </c:pt>
              </c:numCache>
            </c:numRef>
          </c:val>
          <c:extLst>
            <c:ext xmlns:c16="http://schemas.microsoft.com/office/drawing/2014/chart" uri="{C3380CC4-5D6E-409C-BE32-E72D297353CC}">
              <c16:uniqueId val="{00000006-323A-4EDB-8D33-D5056788BAF7}"/>
            </c:ext>
          </c:extLst>
        </c:ser>
        <c:dLbls>
          <c:showLegendKey val="0"/>
          <c:showVal val="0"/>
          <c:showCatName val="0"/>
          <c:showSerName val="0"/>
          <c:showPercent val="0"/>
          <c:showBubbleSize val="0"/>
        </c:dLbls>
        <c:axId val="235977712"/>
        <c:axId val="235978272"/>
      </c:areaChart>
      <c:lineChart>
        <c:grouping val="standard"/>
        <c:varyColors val="0"/>
        <c:ser>
          <c:idx val="7"/>
          <c:order val="7"/>
          <c:tx>
            <c:strRef>
              <c:f>'[2021 FRS Chart sen 17_1.xlsx]Sheet1'!$A$58</c:f>
              <c:strCache>
                <c:ptCount val="1"/>
                <c:pt idx="0">
                  <c:v>შემოსავლები</c:v>
                </c:pt>
              </c:strCache>
            </c:strRef>
          </c:tx>
          <c:spPr>
            <a:ln w="28575" cap="rnd">
              <a:solidFill>
                <a:schemeClr val="accent1">
                  <a:lumMod val="50000"/>
                </a:schemeClr>
              </a:solidFill>
              <a:round/>
            </a:ln>
            <a:effectLst/>
          </c:spPr>
          <c:marker>
            <c:symbol val="none"/>
          </c:marker>
          <c:cat>
            <c:multiLvlStrRef>
              <c:f>'[2021 FRS Chart sen 17_1.xlsx]Sheet1'!$B$2:$I$3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2017</c:v>
                  </c:pt>
                  <c:pt idx="1">
                    <c:v>2018</c:v>
                  </c:pt>
                  <c:pt idx="2">
                    <c:v>2019</c:v>
                  </c:pt>
                  <c:pt idx="3">
                    <c:v>2020</c:v>
                  </c:pt>
                  <c:pt idx="4">
                    <c:v>2021</c:v>
                  </c:pt>
                  <c:pt idx="5">
                    <c:v>2022</c:v>
                  </c:pt>
                  <c:pt idx="6">
                    <c:v>2023</c:v>
                  </c:pt>
                  <c:pt idx="7">
                    <c:v>2024</c:v>
                  </c:pt>
                </c:lvl>
              </c:multiLvlStrCache>
            </c:multiLvlStrRef>
          </c:cat>
          <c:val>
            <c:numRef>
              <c:f>'[2021 FRS Chart sen 17_1.xlsx]Sheet1'!$B$58:$I$58</c:f>
              <c:numCache>
                <c:formatCode>0.0</c:formatCode>
                <c:ptCount val="8"/>
                <c:pt idx="0">
                  <c:v>10921.173906980001</c:v>
                </c:pt>
                <c:pt idx="1">
                  <c:v>11822.151901180001</c:v>
                </c:pt>
                <c:pt idx="2">
                  <c:v>12907.343685770002</c:v>
                </c:pt>
                <c:pt idx="3">
                  <c:v>12163</c:v>
                </c:pt>
                <c:pt idx="4">
                  <c:v>13605</c:v>
                </c:pt>
                <c:pt idx="5">
                  <c:v>14931</c:v>
                </c:pt>
                <c:pt idx="6">
                  <c:v>16469</c:v>
                </c:pt>
                <c:pt idx="7">
                  <c:v>17927</c:v>
                </c:pt>
              </c:numCache>
            </c:numRef>
          </c:val>
          <c:smooth val="0"/>
          <c:extLst>
            <c:ext xmlns:c16="http://schemas.microsoft.com/office/drawing/2014/chart" uri="{C3380CC4-5D6E-409C-BE32-E72D297353CC}">
              <c16:uniqueId val="{00000007-323A-4EDB-8D33-D5056788BAF7}"/>
            </c:ext>
          </c:extLst>
        </c:ser>
        <c:dLbls>
          <c:showLegendKey val="0"/>
          <c:showVal val="0"/>
          <c:showCatName val="0"/>
          <c:showSerName val="0"/>
          <c:showPercent val="0"/>
          <c:showBubbleSize val="0"/>
        </c:dLbls>
        <c:marker val="1"/>
        <c:smooth val="0"/>
        <c:axId val="235977712"/>
        <c:axId val="235978272"/>
      </c:lineChart>
      <c:catAx>
        <c:axId val="235977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8272"/>
        <c:crosses val="autoZero"/>
        <c:auto val="1"/>
        <c:lblAlgn val="ctr"/>
        <c:lblOffset val="100"/>
        <c:noMultiLvlLbl val="0"/>
      </c:catAx>
      <c:valAx>
        <c:axId val="235978272"/>
        <c:scaling>
          <c:orientation val="minMax"/>
          <c:min val="70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7712"/>
        <c:crosses val="autoZero"/>
        <c:crossBetween val="between"/>
      </c:valAx>
      <c:spPr>
        <a:noFill/>
        <a:ln>
          <a:noFill/>
        </a:ln>
        <a:effectLst/>
      </c:spPr>
    </c:plotArea>
    <c:legend>
      <c:legendPos val="b"/>
      <c:legendEntry>
        <c:idx val="0"/>
        <c:delete val="1"/>
      </c:legendEntry>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მთლიანი სალდო</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'[2021 FRS Chart sen 17_1.xlsx]Sheet1'!$A$89</c:f>
              <c:strCache>
                <c:ptCount val="1"/>
              </c:strCache>
            </c:strRef>
          </c:tx>
          <c:spPr>
            <a:noFill/>
            <a:ln>
              <a:noFill/>
            </a:ln>
            <a:effectLst/>
          </c:spPr>
          <c:val>
            <c:numRef>
              <c:f>'[2021 FRS Chart sen 17_1.xlsx]Sheet1'!$B$89:$I$89</c:f>
              <c:numCache>
                <c:formatCode>0.0%</c:formatCode>
                <c:ptCount val="8"/>
                <c:pt idx="0">
                  <c:v>-8.774343108182427E-3</c:v>
                </c:pt>
                <c:pt idx="1">
                  <c:v>-7.2837856225508625E-3</c:v>
                </c:pt>
                <c:pt idx="2">
                  <c:v>-2.7048413087628509E-2</c:v>
                </c:pt>
                <c:pt idx="3">
                  <c:v>-8.3394487287928351E-2</c:v>
                </c:pt>
                <c:pt idx="4">
                  <c:v>-6.3623551263744457E-2</c:v>
                </c:pt>
                <c:pt idx="5">
                  <c:v>-5.6093344560023545E-2</c:v>
                </c:pt>
                <c:pt idx="6">
                  <c:v>-4.4868473862749642E-2</c:v>
                </c:pt>
                <c:pt idx="7">
                  <c:v>-3.8687741922487771E-2</c:v>
                </c:pt>
              </c:numCache>
            </c:numRef>
          </c:val>
          <c:extLst>
            <c:ext xmlns:c16="http://schemas.microsoft.com/office/drawing/2014/chart" uri="{C3380CC4-5D6E-409C-BE32-E72D297353CC}">
              <c16:uniqueId val="{00000000-9734-4F8A-812E-05CB0C1C7C7C}"/>
            </c:ext>
          </c:extLst>
        </c:ser>
        <c:ser>
          <c:idx val="1"/>
          <c:order val="1"/>
          <c:tx>
            <c:strRef>
              <c:f>'[2021 FRS Chart sen 17_1.xlsx]Sheet1'!$A$90</c:f>
              <c:strCache>
                <c:ptCount val="1"/>
                <c:pt idx="0">
                  <c:v>-95%</c:v>
                </c:pt>
              </c:strCache>
            </c:strRef>
          </c:tx>
          <c:spPr>
            <a:solidFill>
              <a:schemeClr val="accent1">
                <a:lumMod val="20000"/>
                <a:lumOff val="80000"/>
              </a:schemeClr>
            </a:solidFill>
            <a:ln>
              <a:noFill/>
            </a:ln>
            <a:effectLst/>
          </c:spPr>
          <c:val>
            <c:numRef>
              <c:f>'[2021 FRS Chart sen 17_1.xlsx]Sheet1'!$B$90:$I$90</c:f>
              <c:numCache>
                <c:formatCode>General</c:formatCode>
                <c:ptCount val="8"/>
                <c:pt idx="3" formatCode="0.0%">
                  <c:v>0</c:v>
                </c:pt>
                <c:pt idx="4" formatCode="0.0%">
                  <c:v>8.6862424962447851E-3</c:v>
                </c:pt>
                <c:pt idx="5" formatCode="0.0%">
                  <c:v>8.6862424962447851E-3</c:v>
                </c:pt>
                <c:pt idx="6" formatCode="0.0%">
                  <c:v>8.6862424962447851E-3</c:v>
                </c:pt>
                <c:pt idx="7" formatCode="0.0%">
                  <c:v>8.6862424962447851E-3</c:v>
                </c:pt>
              </c:numCache>
            </c:numRef>
          </c:val>
          <c:extLst>
            <c:ext xmlns:c16="http://schemas.microsoft.com/office/drawing/2014/chart" uri="{C3380CC4-5D6E-409C-BE32-E72D297353CC}">
              <c16:uniqueId val="{00000001-9734-4F8A-812E-05CB0C1C7C7C}"/>
            </c:ext>
          </c:extLst>
        </c:ser>
        <c:ser>
          <c:idx val="2"/>
          <c:order val="2"/>
          <c:tx>
            <c:strRef>
              <c:f>'[2021 FRS Chart sen 17_1.xlsx]Sheet1'!$A$91</c:f>
              <c:strCache>
                <c:ptCount val="1"/>
                <c:pt idx="0">
                  <c:v>-60%</c:v>
                </c:pt>
              </c:strCache>
            </c:strRef>
          </c:tx>
          <c:spPr>
            <a:solidFill>
              <a:schemeClr val="accent1">
                <a:lumMod val="40000"/>
                <a:lumOff val="60000"/>
              </a:schemeClr>
            </a:solidFill>
            <a:ln>
              <a:noFill/>
            </a:ln>
            <a:effectLst/>
          </c:spPr>
          <c:val>
            <c:numRef>
              <c:f>'[2021 FRS Chart sen 17_1.xlsx]Sheet1'!$B$91:$I$91</c:f>
              <c:numCache>
                <c:formatCode>General</c:formatCode>
                <c:ptCount val="8"/>
                <c:pt idx="3" formatCode="0.0%">
                  <c:v>0</c:v>
                </c:pt>
                <c:pt idx="4" formatCode="0.0%">
                  <c:v>3.0589114466034804E-3</c:v>
                </c:pt>
                <c:pt idx="5" formatCode="0.0%">
                  <c:v>3.0589114466034804E-3</c:v>
                </c:pt>
                <c:pt idx="6" formatCode="0.0%">
                  <c:v>3.0589114466034804E-3</c:v>
                </c:pt>
                <c:pt idx="7" formatCode="0.0%">
                  <c:v>3.0589114466034804E-3</c:v>
                </c:pt>
              </c:numCache>
            </c:numRef>
          </c:val>
          <c:extLst>
            <c:ext xmlns:c16="http://schemas.microsoft.com/office/drawing/2014/chart" uri="{C3380CC4-5D6E-409C-BE32-E72D297353CC}">
              <c16:uniqueId val="{00000002-9734-4F8A-812E-05CB0C1C7C7C}"/>
            </c:ext>
          </c:extLst>
        </c:ser>
        <c:ser>
          <c:idx val="3"/>
          <c:order val="3"/>
          <c:tx>
            <c:strRef>
              <c:f>'[2021 FRS Chart sen 17_1.xlsx]Sheet1'!$A$92</c:f>
              <c:strCache>
                <c:ptCount val="1"/>
                <c:pt idx="0">
                  <c:v>-30%</c:v>
                </c:pt>
              </c:strCache>
            </c:strRef>
          </c:tx>
          <c:spPr>
            <a:solidFill>
              <a:schemeClr val="accent1">
                <a:lumMod val="60000"/>
                <a:lumOff val="40000"/>
              </a:schemeClr>
            </a:solidFill>
            <a:ln>
              <a:noFill/>
            </a:ln>
            <a:effectLst/>
          </c:spPr>
          <c:val>
            <c:numRef>
              <c:f>'[2021 FRS Chart sen 17_1.xlsx]Sheet1'!$B$92:$I$92</c:f>
              <c:numCache>
                <c:formatCode>General</c:formatCode>
                <c:ptCount val="8"/>
                <c:pt idx="3" formatCode="0.0%">
                  <c:v>0</c:v>
                </c:pt>
                <c:pt idx="4" formatCode="0.0%">
                  <c:v>2.5065948191103139E-3</c:v>
                </c:pt>
                <c:pt idx="5" formatCode="0.0%">
                  <c:v>2.5065948191103139E-3</c:v>
                </c:pt>
                <c:pt idx="6" formatCode="0.0%">
                  <c:v>2.5065948191103139E-3</c:v>
                </c:pt>
                <c:pt idx="7" formatCode="0.0%">
                  <c:v>2.5065948191103139E-3</c:v>
                </c:pt>
              </c:numCache>
            </c:numRef>
          </c:val>
          <c:extLst>
            <c:ext xmlns:c16="http://schemas.microsoft.com/office/drawing/2014/chart" uri="{C3380CC4-5D6E-409C-BE32-E72D297353CC}">
              <c16:uniqueId val="{00000003-9734-4F8A-812E-05CB0C1C7C7C}"/>
            </c:ext>
          </c:extLst>
        </c:ser>
        <c:ser>
          <c:idx val="4"/>
          <c:order val="4"/>
          <c:tx>
            <c:strRef>
              <c:f>'[2021 FRS Chart sen 17_1.xlsx]Sheet1'!$A$93</c:f>
              <c:strCache>
                <c:ptCount val="1"/>
                <c:pt idx="0">
                  <c:v>+30%</c:v>
                </c:pt>
              </c:strCache>
            </c:strRef>
          </c:tx>
          <c:spPr>
            <a:solidFill>
              <a:schemeClr val="accent1">
                <a:lumMod val="60000"/>
                <a:lumOff val="40000"/>
              </a:schemeClr>
            </a:solidFill>
            <a:ln>
              <a:noFill/>
            </a:ln>
            <a:effectLst/>
          </c:spPr>
          <c:val>
            <c:numRef>
              <c:f>'[2021 FRS Chart sen 17_1.xlsx]Sheet1'!$B$93:$I$93</c:f>
              <c:numCache>
                <c:formatCode>General</c:formatCode>
                <c:ptCount val="8"/>
                <c:pt idx="3" formatCode="0.0%">
                  <c:v>0</c:v>
                </c:pt>
                <c:pt idx="4" formatCode="0.0%">
                  <c:v>2.5065948191103139E-3</c:v>
                </c:pt>
                <c:pt idx="5" formatCode="0.0%">
                  <c:v>2.5065948191103139E-3</c:v>
                </c:pt>
                <c:pt idx="6" formatCode="0.0%">
                  <c:v>2.5065948191103139E-3</c:v>
                </c:pt>
                <c:pt idx="7" formatCode="0.0%">
                  <c:v>2.5065948191103139E-3</c:v>
                </c:pt>
              </c:numCache>
            </c:numRef>
          </c:val>
          <c:extLst>
            <c:ext xmlns:c16="http://schemas.microsoft.com/office/drawing/2014/chart" uri="{C3380CC4-5D6E-409C-BE32-E72D297353CC}">
              <c16:uniqueId val="{00000004-9734-4F8A-812E-05CB0C1C7C7C}"/>
            </c:ext>
          </c:extLst>
        </c:ser>
        <c:ser>
          <c:idx val="5"/>
          <c:order val="5"/>
          <c:tx>
            <c:strRef>
              <c:f>'[2021 FRS Chart sen 17_1.xlsx]Sheet1'!$A$94</c:f>
              <c:strCache>
                <c:ptCount val="1"/>
                <c:pt idx="0">
                  <c:v>+60%</c:v>
                </c:pt>
              </c:strCache>
            </c:strRef>
          </c:tx>
          <c:spPr>
            <a:solidFill>
              <a:schemeClr val="accent1">
                <a:lumMod val="40000"/>
                <a:lumOff val="60000"/>
              </a:schemeClr>
            </a:solidFill>
            <a:ln>
              <a:noFill/>
            </a:ln>
            <a:effectLst/>
          </c:spPr>
          <c:val>
            <c:numRef>
              <c:f>'[2021 FRS Chart sen 17_1.xlsx]Sheet1'!$B$94:$I$94</c:f>
              <c:numCache>
                <c:formatCode>General</c:formatCode>
                <c:ptCount val="8"/>
                <c:pt idx="3" formatCode="0.0%">
                  <c:v>0</c:v>
                </c:pt>
                <c:pt idx="4" formatCode="0.0%">
                  <c:v>3.0589114466034804E-3</c:v>
                </c:pt>
                <c:pt idx="5" formatCode="0.0%">
                  <c:v>3.0589114466034804E-3</c:v>
                </c:pt>
                <c:pt idx="6" formatCode="0.0%">
                  <c:v>3.0589114466034804E-3</c:v>
                </c:pt>
                <c:pt idx="7" formatCode="0.0%">
                  <c:v>3.0589114466034804E-3</c:v>
                </c:pt>
              </c:numCache>
            </c:numRef>
          </c:val>
          <c:extLst>
            <c:ext xmlns:c16="http://schemas.microsoft.com/office/drawing/2014/chart" uri="{C3380CC4-5D6E-409C-BE32-E72D297353CC}">
              <c16:uniqueId val="{00000005-9734-4F8A-812E-05CB0C1C7C7C}"/>
            </c:ext>
          </c:extLst>
        </c:ser>
        <c:ser>
          <c:idx val="6"/>
          <c:order val="6"/>
          <c:tx>
            <c:strRef>
              <c:f>'[2021 FRS Chart sen 17_1.xlsx]Sheet1'!$A$95</c:f>
              <c:strCache>
                <c:ptCount val="1"/>
                <c:pt idx="0">
                  <c:v>+95%</c:v>
                </c:pt>
              </c:strCache>
            </c:strRef>
          </c:tx>
          <c:spPr>
            <a:solidFill>
              <a:schemeClr val="accent1">
                <a:lumMod val="20000"/>
                <a:lumOff val="80000"/>
              </a:schemeClr>
            </a:solidFill>
            <a:ln>
              <a:noFill/>
            </a:ln>
            <a:effectLst/>
          </c:spPr>
          <c:val>
            <c:numRef>
              <c:f>'[2021 FRS Chart sen 17_1.xlsx]Sheet1'!$B$95:$I$95</c:f>
              <c:numCache>
                <c:formatCode>General</c:formatCode>
                <c:ptCount val="8"/>
                <c:pt idx="3" formatCode="0.0%">
                  <c:v>0</c:v>
                </c:pt>
                <c:pt idx="4" formatCode="0.0%">
                  <c:v>8.6862424962447851E-3</c:v>
                </c:pt>
                <c:pt idx="5" formatCode="0.0%">
                  <c:v>8.6862424962447851E-3</c:v>
                </c:pt>
                <c:pt idx="6" formatCode="0.0%">
                  <c:v>8.6862424962447851E-3</c:v>
                </c:pt>
                <c:pt idx="7" formatCode="0.0%">
                  <c:v>8.6862424962447851E-3</c:v>
                </c:pt>
              </c:numCache>
            </c:numRef>
          </c:val>
          <c:extLst>
            <c:ext xmlns:c16="http://schemas.microsoft.com/office/drawing/2014/chart" uri="{C3380CC4-5D6E-409C-BE32-E72D297353CC}">
              <c16:uniqueId val="{00000006-9734-4F8A-812E-05CB0C1C7C7C}"/>
            </c:ext>
          </c:extLst>
        </c:ser>
        <c:dLbls>
          <c:showLegendKey val="0"/>
          <c:showVal val="0"/>
          <c:showCatName val="0"/>
          <c:showSerName val="0"/>
          <c:showPercent val="0"/>
          <c:showBubbleSize val="0"/>
        </c:dLbls>
        <c:axId val="235709760"/>
        <c:axId val="235710320"/>
      </c:areaChart>
      <c:lineChart>
        <c:grouping val="standard"/>
        <c:varyColors val="0"/>
        <c:ser>
          <c:idx val="7"/>
          <c:order val="7"/>
          <c:tx>
            <c:strRef>
              <c:f>'[2021 FRS Chart sen 17_1.xlsx]Sheet1'!$A$86</c:f>
              <c:strCache>
                <c:ptCount val="1"/>
                <c:pt idx="0">
                  <c:v>მთლიანი სალდო</c:v>
                </c:pt>
              </c:strCache>
            </c:strRef>
          </c:tx>
          <c:spPr>
            <a:ln w="28575" cap="rnd">
              <a:solidFill>
                <a:schemeClr val="accent1">
                  <a:lumMod val="50000"/>
                </a:schemeClr>
              </a:solidFill>
              <a:round/>
            </a:ln>
            <a:effectLst/>
          </c:spPr>
          <c:marker>
            <c:symbol val="none"/>
          </c:marker>
          <c:cat>
            <c:multiLvlStrRef>
              <c:f>'[2021 FRS Chart sen 17_1.xlsx]Sheet1'!$B$2:$I$3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2017</c:v>
                  </c:pt>
                  <c:pt idx="1">
                    <c:v>2018</c:v>
                  </c:pt>
                  <c:pt idx="2">
                    <c:v>2019</c:v>
                  </c:pt>
                  <c:pt idx="3">
                    <c:v>2020</c:v>
                  </c:pt>
                  <c:pt idx="4">
                    <c:v>2021</c:v>
                  </c:pt>
                  <c:pt idx="5">
                    <c:v>2022</c:v>
                  </c:pt>
                  <c:pt idx="6">
                    <c:v>2023</c:v>
                  </c:pt>
                  <c:pt idx="7">
                    <c:v>2024</c:v>
                  </c:pt>
                </c:lvl>
              </c:multiLvlStrCache>
            </c:multiLvlStrRef>
          </c:cat>
          <c:val>
            <c:numRef>
              <c:f>'[2021 FRS Chart sen 17_1.xlsx]Sheet1'!$B$86:$I$86</c:f>
              <c:numCache>
                <c:formatCode>0.0%</c:formatCode>
                <c:ptCount val="8"/>
                <c:pt idx="0">
                  <c:v>-8.774343108182427E-3</c:v>
                </c:pt>
                <c:pt idx="1">
                  <c:v>-7.2837856225508625E-3</c:v>
                </c:pt>
                <c:pt idx="2">
                  <c:v>-2.7048413087628509E-2</c:v>
                </c:pt>
                <c:pt idx="3">
                  <c:v>-8.3394487287928351E-2</c:v>
                </c:pt>
                <c:pt idx="4">
                  <c:v>-4.9371802501785876E-2</c:v>
                </c:pt>
                <c:pt idx="5">
                  <c:v>-4.1841595798064964E-2</c:v>
                </c:pt>
                <c:pt idx="6">
                  <c:v>-3.061672510079106E-2</c:v>
                </c:pt>
                <c:pt idx="7">
                  <c:v>-2.443599316052919E-2</c:v>
                </c:pt>
              </c:numCache>
            </c:numRef>
          </c:val>
          <c:smooth val="0"/>
          <c:extLst>
            <c:ext xmlns:c16="http://schemas.microsoft.com/office/drawing/2014/chart" uri="{C3380CC4-5D6E-409C-BE32-E72D297353CC}">
              <c16:uniqueId val="{00000007-9734-4F8A-812E-05CB0C1C7C7C}"/>
            </c:ext>
          </c:extLst>
        </c:ser>
        <c:dLbls>
          <c:showLegendKey val="0"/>
          <c:showVal val="0"/>
          <c:showCatName val="0"/>
          <c:showSerName val="0"/>
          <c:showPercent val="0"/>
          <c:showBubbleSize val="0"/>
        </c:dLbls>
        <c:marker val="1"/>
        <c:smooth val="0"/>
        <c:axId val="235709760"/>
        <c:axId val="235710320"/>
      </c:lineChart>
      <c:catAx>
        <c:axId val="235709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10320"/>
        <c:crosses val="autoZero"/>
        <c:auto val="1"/>
        <c:lblAlgn val="ctr"/>
        <c:lblOffset val="100"/>
        <c:noMultiLvlLbl val="0"/>
      </c:catAx>
      <c:valAx>
        <c:axId val="2357103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09760"/>
        <c:crosses val="autoZero"/>
        <c:crossBetween val="between"/>
      </c:valAx>
      <c:spPr>
        <a:noFill/>
        <a:ln>
          <a:noFill/>
        </a:ln>
        <a:effectLst/>
      </c:spPr>
    </c:plotArea>
    <c:legend>
      <c:legendPos val="b"/>
      <c:legendEntry>
        <c:idx val="0"/>
        <c:delete val="1"/>
      </c:legendEntry>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0.4521</cdr:x>
      <cdr:y>0.17019</cdr:y>
    </cdr:from>
    <cdr:to>
      <cdr:x>0.95509</cdr:x>
      <cdr:y>0.82806</cdr:y>
    </cdr:to>
    <cdr:sp macro="" textlink="">
      <cdr:nvSpPr>
        <cdr:cNvPr id="2" name="Rectangle 1"/>
        <cdr:cNvSpPr/>
      </cdr:nvSpPr>
      <cdr:spPr>
        <a:xfrm xmlns:a="http://schemas.openxmlformats.org/drawingml/2006/main">
          <a:off x="1438275" y="495300"/>
          <a:ext cx="1600200" cy="1914525"/>
        </a:xfrm>
        <a:prstGeom xmlns:a="http://schemas.openxmlformats.org/drawingml/2006/main" prst="rect">
          <a:avLst/>
        </a:prstGeom>
        <a:solidFill xmlns:a="http://schemas.openxmlformats.org/drawingml/2006/main">
          <a:schemeClr val="accent1">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0.44048</cdr:x>
      <cdr:y>0.17019</cdr:y>
    </cdr:from>
    <cdr:to>
      <cdr:x>0.95536</cdr:x>
      <cdr:y>0.88043</cdr:y>
    </cdr:to>
    <cdr:sp macro="" textlink="">
      <cdr:nvSpPr>
        <cdr:cNvPr id="3" name="Rectangle 2"/>
        <cdr:cNvSpPr/>
      </cdr:nvSpPr>
      <cdr:spPr>
        <a:xfrm xmlns:a="http://schemas.openxmlformats.org/drawingml/2006/main">
          <a:off x="1409700" y="495299"/>
          <a:ext cx="1647825" cy="2066925"/>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0.46791</cdr:x>
      <cdr:y>0.18001</cdr:y>
    </cdr:from>
    <cdr:to>
      <cdr:x>0.95967</cdr:x>
      <cdr:y>0.86891</cdr:y>
    </cdr:to>
    <cdr:sp macro="" textlink="">
      <cdr:nvSpPr>
        <cdr:cNvPr id="3" name="Rectangle 2"/>
        <cdr:cNvSpPr/>
      </cdr:nvSpPr>
      <cdr:spPr>
        <a:xfrm xmlns:a="http://schemas.openxmlformats.org/drawingml/2006/main">
          <a:off x="1495425" y="495299"/>
          <a:ext cx="1571625" cy="1895475"/>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0.44711</cdr:x>
      <cdr:y>0.18562</cdr:y>
    </cdr:from>
    <cdr:to>
      <cdr:x>0.95558</cdr:x>
      <cdr:y>0.87555</cdr:y>
    </cdr:to>
    <cdr:sp macro="" textlink="">
      <cdr:nvSpPr>
        <cdr:cNvPr id="3" name="Rectangle 2"/>
        <cdr:cNvSpPr/>
      </cdr:nvSpPr>
      <cdr:spPr>
        <a:xfrm xmlns:a="http://schemas.openxmlformats.org/drawingml/2006/main">
          <a:off x="1457325" y="504825"/>
          <a:ext cx="1657350" cy="1876425"/>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D67E-E721-41A5-B7B2-3E1E0747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Tsotne Marghia</dc:creator>
  <cp:keywords/>
  <dc:description/>
  <cp:lastModifiedBy>Mirza Gelashvili</cp:lastModifiedBy>
  <cp:revision>2</cp:revision>
  <cp:lastPrinted>2020-08-31T12:10:00Z</cp:lastPrinted>
  <dcterms:created xsi:type="dcterms:W3CDTF">2020-09-30T07:26:00Z</dcterms:created>
  <dcterms:modified xsi:type="dcterms:W3CDTF">2020-09-30T07:26:00Z</dcterms:modified>
</cp:coreProperties>
</file>